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508"/>
        <w:gridCol w:w="4508"/>
      </w:tblGrid>
      <w:tr w:rsidR="00306E98" w14:paraId="4F56EEC5" w14:textId="77777777" w:rsidTr="00306E98">
        <w:tc>
          <w:tcPr>
            <w:tcW w:w="4508" w:type="dxa"/>
          </w:tcPr>
          <w:p w14:paraId="28E74982" w14:textId="77777777" w:rsidR="00306E98" w:rsidRPr="003D3D96" w:rsidRDefault="00306E98" w:rsidP="003D3D96">
            <w:pPr>
              <w:spacing w:line="360" w:lineRule="auto"/>
              <w:rPr>
                <w:rFonts w:ascii="Arial" w:hAnsi="Arial" w:cs="Arial"/>
                <w:sz w:val="24"/>
                <w:szCs w:val="24"/>
              </w:rPr>
            </w:pPr>
            <w:r w:rsidRPr="003D3D96">
              <w:rPr>
                <w:rFonts w:ascii="Arial" w:hAnsi="Arial" w:cs="Arial"/>
                <w:sz w:val="24"/>
                <w:szCs w:val="24"/>
              </w:rPr>
              <w:t xml:space="preserve">AQTAG 14 </w:t>
            </w:r>
          </w:p>
          <w:p w14:paraId="02CC1078" w14:textId="66C4D9E0" w:rsidR="00306E98" w:rsidRPr="003D3D96" w:rsidRDefault="00306E98" w:rsidP="003D3D96">
            <w:pPr>
              <w:spacing w:line="360" w:lineRule="auto"/>
              <w:rPr>
                <w:rFonts w:ascii="Arial" w:hAnsi="Arial" w:cs="Arial"/>
                <w:sz w:val="24"/>
                <w:szCs w:val="24"/>
              </w:rPr>
            </w:pPr>
            <w:r w:rsidRPr="003D3D96">
              <w:rPr>
                <w:rFonts w:ascii="Arial" w:hAnsi="Arial" w:cs="Arial"/>
                <w:sz w:val="24"/>
                <w:szCs w:val="24"/>
              </w:rPr>
              <w:t>Guidance on identifying ‘relevance’ for assessment under the Habitats Regulations for Environmental Permitting Regulations (EPR) installations with combustion processes</w:t>
            </w:r>
          </w:p>
        </w:tc>
        <w:tc>
          <w:tcPr>
            <w:tcW w:w="4508" w:type="dxa"/>
          </w:tcPr>
          <w:p w14:paraId="69A08D3B" w14:textId="3A5BDF71" w:rsidR="00306E98" w:rsidRPr="003D3D96" w:rsidRDefault="00306E98" w:rsidP="003D3D96">
            <w:pPr>
              <w:spacing w:line="360" w:lineRule="auto"/>
            </w:pPr>
            <w:r w:rsidRPr="003D3D96">
              <w:rPr>
                <w:noProof/>
              </w:rPr>
              <w:drawing>
                <wp:inline distT="0" distB="0" distL="0" distR="0" wp14:anchorId="7197BDCD" wp14:editId="323857D3">
                  <wp:extent cx="2418651" cy="869950"/>
                  <wp:effectExtent l="0" t="0" r="1270" b="6350"/>
                  <wp:docPr id="21279130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91307" name="Picture 1">
                            <a:extLst>
                              <a:ext uri="{C183D7F6-B498-43B3-948B-1728B52AA6E4}">
                                <adec:decorative xmlns:adec="http://schemas.microsoft.com/office/drawing/2017/decorative" val="1"/>
                              </a:ext>
                            </a:extLst>
                          </pic:cNvPr>
                          <pic:cNvPicPr/>
                        </pic:nvPicPr>
                        <pic:blipFill>
                          <a:blip r:embed="rId7"/>
                          <a:stretch>
                            <a:fillRect/>
                          </a:stretch>
                        </pic:blipFill>
                        <pic:spPr>
                          <a:xfrm>
                            <a:off x="0" y="0"/>
                            <a:ext cx="2423037" cy="871528"/>
                          </a:xfrm>
                          <a:prstGeom prst="rect">
                            <a:avLst/>
                          </a:prstGeom>
                        </pic:spPr>
                      </pic:pic>
                    </a:graphicData>
                  </a:graphic>
                </wp:inline>
              </w:drawing>
            </w:r>
          </w:p>
        </w:tc>
      </w:tr>
      <w:tr w:rsidR="00306E98" w14:paraId="2DEC4791" w14:textId="77777777" w:rsidTr="00B96174">
        <w:trPr>
          <w:trHeight w:val="397"/>
        </w:trPr>
        <w:tc>
          <w:tcPr>
            <w:tcW w:w="4508" w:type="dxa"/>
          </w:tcPr>
          <w:p w14:paraId="5512E058" w14:textId="5CEEF9F5" w:rsidR="00306E98" w:rsidRPr="003D3D96" w:rsidRDefault="00306E98" w:rsidP="003D3D96">
            <w:pPr>
              <w:spacing w:line="360" w:lineRule="auto"/>
              <w:rPr>
                <w:rFonts w:ascii="Arial" w:hAnsi="Arial" w:cs="Arial"/>
                <w:sz w:val="24"/>
                <w:szCs w:val="24"/>
              </w:rPr>
            </w:pPr>
            <w:r w:rsidRPr="003D3D96">
              <w:rPr>
                <w:rFonts w:ascii="Arial" w:hAnsi="Arial" w:cs="Arial"/>
                <w:sz w:val="24"/>
                <w:szCs w:val="24"/>
              </w:rPr>
              <w:t>Author: AQMAU</w:t>
            </w:r>
          </w:p>
        </w:tc>
        <w:tc>
          <w:tcPr>
            <w:tcW w:w="4508" w:type="dxa"/>
          </w:tcPr>
          <w:p w14:paraId="50357592" w14:textId="105F3C38" w:rsidR="00306E98" w:rsidRPr="003D3D96" w:rsidRDefault="00306E98" w:rsidP="003D3D96">
            <w:pPr>
              <w:spacing w:line="360" w:lineRule="auto"/>
              <w:rPr>
                <w:rFonts w:ascii="Arial" w:hAnsi="Arial" w:cs="Arial"/>
                <w:sz w:val="24"/>
                <w:szCs w:val="24"/>
              </w:rPr>
            </w:pPr>
            <w:r w:rsidRPr="003D3D96">
              <w:rPr>
                <w:rFonts w:ascii="Arial" w:hAnsi="Arial" w:cs="Arial"/>
                <w:sz w:val="24"/>
                <w:szCs w:val="24"/>
              </w:rPr>
              <w:t>Status: Final</w:t>
            </w:r>
          </w:p>
        </w:tc>
      </w:tr>
      <w:tr w:rsidR="00306E98" w14:paraId="33860EA1" w14:textId="77777777" w:rsidTr="00B96174">
        <w:trPr>
          <w:trHeight w:val="397"/>
        </w:trPr>
        <w:tc>
          <w:tcPr>
            <w:tcW w:w="4508" w:type="dxa"/>
          </w:tcPr>
          <w:p w14:paraId="5C82643C" w14:textId="57D12D62" w:rsidR="00306E98" w:rsidRPr="003D3D96" w:rsidRDefault="00306E98" w:rsidP="003D3D96">
            <w:pPr>
              <w:spacing w:line="360" w:lineRule="auto"/>
              <w:rPr>
                <w:rFonts w:ascii="Arial" w:hAnsi="Arial" w:cs="Arial"/>
                <w:sz w:val="24"/>
                <w:szCs w:val="24"/>
              </w:rPr>
            </w:pPr>
            <w:r w:rsidRPr="003D3D96">
              <w:rPr>
                <w:rFonts w:ascii="Arial" w:hAnsi="Arial" w:cs="Arial"/>
                <w:sz w:val="24"/>
                <w:szCs w:val="24"/>
              </w:rPr>
              <w:t>November 2021</w:t>
            </w:r>
          </w:p>
        </w:tc>
        <w:tc>
          <w:tcPr>
            <w:tcW w:w="4508" w:type="dxa"/>
          </w:tcPr>
          <w:p w14:paraId="114C347B" w14:textId="1CEA7C98" w:rsidR="00306E98" w:rsidRPr="003D3D96" w:rsidRDefault="00306E98" w:rsidP="003D3D96">
            <w:pPr>
              <w:spacing w:line="360" w:lineRule="auto"/>
              <w:rPr>
                <w:rFonts w:ascii="Arial" w:hAnsi="Arial" w:cs="Arial"/>
                <w:sz w:val="24"/>
                <w:szCs w:val="24"/>
              </w:rPr>
            </w:pPr>
            <w:r w:rsidRPr="003D3D96">
              <w:rPr>
                <w:rFonts w:ascii="Arial" w:hAnsi="Arial" w:cs="Arial"/>
                <w:sz w:val="24"/>
                <w:szCs w:val="24"/>
              </w:rPr>
              <w:t>Version 2</w:t>
            </w:r>
          </w:p>
        </w:tc>
      </w:tr>
    </w:tbl>
    <w:p w14:paraId="5BF8360E" w14:textId="77777777" w:rsidR="00306E98" w:rsidRDefault="00306E98"/>
    <w:p w14:paraId="67F28E67" w14:textId="5F4E016C" w:rsidR="00306E98" w:rsidRPr="00794B16" w:rsidRDefault="00306E98" w:rsidP="00306E98">
      <w:pPr>
        <w:pStyle w:val="ListParagraph"/>
        <w:numPr>
          <w:ilvl w:val="0"/>
          <w:numId w:val="3"/>
        </w:numPr>
        <w:rPr>
          <w:rFonts w:ascii="Arial" w:hAnsi="Arial" w:cs="Arial"/>
          <w:b/>
          <w:bCs/>
          <w:sz w:val="24"/>
          <w:szCs w:val="24"/>
        </w:rPr>
      </w:pPr>
      <w:r w:rsidRPr="00794B16">
        <w:rPr>
          <w:rFonts w:ascii="Arial" w:hAnsi="Arial" w:cs="Arial"/>
          <w:b/>
          <w:bCs/>
          <w:sz w:val="24"/>
          <w:szCs w:val="24"/>
        </w:rPr>
        <w:t>Purpose of Guidance</w:t>
      </w:r>
    </w:p>
    <w:p w14:paraId="39E591EE" w14:textId="77777777" w:rsidR="00967343" w:rsidRPr="00794B16" w:rsidRDefault="00967343" w:rsidP="00967343">
      <w:pPr>
        <w:pStyle w:val="ListParagraph"/>
        <w:ind w:left="360"/>
        <w:rPr>
          <w:rFonts w:ascii="Arial" w:hAnsi="Arial" w:cs="Arial"/>
          <w:b/>
          <w:bCs/>
          <w:sz w:val="24"/>
          <w:szCs w:val="24"/>
        </w:rPr>
      </w:pPr>
    </w:p>
    <w:p w14:paraId="36CD331C" w14:textId="49C3FA20" w:rsidR="00306E98" w:rsidRPr="00794B16" w:rsidRDefault="00306E98" w:rsidP="00DA2785">
      <w:pPr>
        <w:pStyle w:val="ListParagraph"/>
        <w:numPr>
          <w:ilvl w:val="1"/>
          <w:numId w:val="7"/>
        </w:numPr>
        <w:spacing w:line="360" w:lineRule="auto"/>
        <w:rPr>
          <w:rFonts w:ascii="Arial" w:hAnsi="Arial" w:cs="Arial"/>
          <w:b/>
          <w:bCs/>
          <w:sz w:val="24"/>
          <w:szCs w:val="24"/>
        </w:rPr>
      </w:pPr>
      <w:r w:rsidRPr="00794B16">
        <w:rPr>
          <w:rFonts w:ascii="Arial" w:hAnsi="Arial" w:cs="Arial"/>
          <w:sz w:val="24"/>
          <w:szCs w:val="24"/>
        </w:rPr>
        <w:t>The purpose of this guidance is to help the Agency's National Permitting Service and Natural England (NE) to identify releases from combustion processes for installations permitted under the Environmental Permitting Regulations which are ‘relevant’ to the tests of the Habitats Regulations.</w:t>
      </w:r>
    </w:p>
    <w:p w14:paraId="3090D477" w14:textId="77777777" w:rsidR="00C45D19" w:rsidRPr="00794B16" w:rsidRDefault="00C45D19" w:rsidP="00C45D19">
      <w:pPr>
        <w:pStyle w:val="ListParagraph"/>
        <w:ind w:left="851"/>
        <w:rPr>
          <w:rFonts w:ascii="Arial" w:hAnsi="Arial" w:cs="Arial"/>
          <w:b/>
          <w:bCs/>
          <w:sz w:val="24"/>
          <w:szCs w:val="24"/>
        </w:rPr>
      </w:pPr>
    </w:p>
    <w:p w14:paraId="661E1D1A" w14:textId="5F6B2DE2" w:rsidR="00306E98" w:rsidRPr="00794B16" w:rsidRDefault="00967343" w:rsidP="00306E98">
      <w:pPr>
        <w:pStyle w:val="ListParagraph"/>
        <w:numPr>
          <w:ilvl w:val="0"/>
          <w:numId w:val="3"/>
        </w:numPr>
        <w:rPr>
          <w:rFonts w:ascii="Arial" w:hAnsi="Arial" w:cs="Arial"/>
          <w:b/>
          <w:bCs/>
          <w:sz w:val="24"/>
          <w:szCs w:val="24"/>
        </w:rPr>
      </w:pPr>
      <w:r w:rsidRPr="00794B16">
        <w:rPr>
          <w:rFonts w:ascii="Arial" w:hAnsi="Arial" w:cs="Arial"/>
          <w:b/>
          <w:bCs/>
          <w:sz w:val="24"/>
          <w:szCs w:val="24"/>
        </w:rPr>
        <w:t>Summary of Work</w:t>
      </w:r>
    </w:p>
    <w:p w14:paraId="4567CAA5" w14:textId="77777777" w:rsidR="003D449E" w:rsidRPr="00794B16" w:rsidRDefault="003D449E" w:rsidP="003D449E">
      <w:pPr>
        <w:pStyle w:val="ListParagraph"/>
        <w:ind w:left="360"/>
        <w:rPr>
          <w:rFonts w:ascii="Arial" w:hAnsi="Arial" w:cs="Arial"/>
          <w:b/>
          <w:bCs/>
          <w:sz w:val="24"/>
          <w:szCs w:val="24"/>
        </w:rPr>
      </w:pPr>
    </w:p>
    <w:p w14:paraId="3C642D01" w14:textId="77777777" w:rsidR="003D449E" w:rsidRPr="00794B16" w:rsidRDefault="003D449E" w:rsidP="003D449E">
      <w:pPr>
        <w:pStyle w:val="ListParagraph"/>
        <w:numPr>
          <w:ilvl w:val="0"/>
          <w:numId w:val="7"/>
        </w:numPr>
        <w:rPr>
          <w:rFonts w:ascii="Arial" w:hAnsi="Arial" w:cs="Arial"/>
          <w:vanish/>
          <w:sz w:val="24"/>
          <w:szCs w:val="24"/>
        </w:rPr>
      </w:pPr>
    </w:p>
    <w:p w14:paraId="2CD27D29" w14:textId="286B6DE8" w:rsidR="003D449E" w:rsidRPr="00794B16" w:rsidRDefault="003D449E" w:rsidP="00DA2785">
      <w:pPr>
        <w:pStyle w:val="ListParagraph"/>
        <w:numPr>
          <w:ilvl w:val="1"/>
          <w:numId w:val="7"/>
        </w:numPr>
        <w:spacing w:line="360" w:lineRule="auto"/>
        <w:rPr>
          <w:rFonts w:ascii="Arial" w:hAnsi="Arial" w:cs="Arial"/>
          <w:sz w:val="24"/>
          <w:szCs w:val="24"/>
        </w:rPr>
      </w:pPr>
      <w:r w:rsidRPr="00794B16">
        <w:rPr>
          <w:rFonts w:ascii="Arial" w:hAnsi="Arial" w:cs="Arial"/>
          <w:sz w:val="24"/>
          <w:szCs w:val="24"/>
        </w:rPr>
        <w:t xml:space="preserve">The following conservation designation screening distances for air quality impacts from combustion sources have been developed by the Air Quality Modelling and Assessment Unit (AQMAU). These are a revision to the previous AQTAG14 screening distances. They have been derived to provide a set of distance screening criteria to assess impacts of air quality emissions from environmental permit applications which will be protective of European, national and locally designated conservation areas. </w:t>
      </w:r>
    </w:p>
    <w:p w14:paraId="73201822" w14:textId="77777777" w:rsidR="003D449E" w:rsidRPr="00794B16" w:rsidRDefault="003D449E" w:rsidP="00DA2785">
      <w:pPr>
        <w:pStyle w:val="ListParagraph"/>
        <w:spacing w:line="360" w:lineRule="auto"/>
        <w:ind w:left="851"/>
        <w:rPr>
          <w:rFonts w:ascii="Arial" w:hAnsi="Arial" w:cs="Arial"/>
          <w:sz w:val="24"/>
          <w:szCs w:val="24"/>
        </w:rPr>
      </w:pPr>
    </w:p>
    <w:p w14:paraId="1B63E99D" w14:textId="77777777" w:rsidR="003D449E" w:rsidRPr="00794B16" w:rsidRDefault="003D449E" w:rsidP="00DA2785">
      <w:pPr>
        <w:pStyle w:val="ListParagraph"/>
        <w:numPr>
          <w:ilvl w:val="1"/>
          <w:numId w:val="7"/>
        </w:numPr>
        <w:spacing w:line="360" w:lineRule="auto"/>
        <w:rPr>
          <w:rFonts w:ascii="Arial" w:hAnsi="Arial" w:cs="Arial"/>
          <w:sz w:val="24"/>
          <w:szCs w:val="24"/>
        </w:rPr>
      </w:pPr>
      <w:r w:rsidRPr="00794B16">
        <w:rPr>
          <w:rFonts w:ascii="Arial" w:hAnsi="Arial" w:cs="Arial"/>
          <w:sz w:val="24"/>
          <w:szCs w:val="24"/>
        </w:rPr>
        <w:t>The work was originally undertaken in response to a request from the Environment and Business (E&amp;B) directorate of the Environment Agency in 2017, as detailed in the accompanying ‘Proposal to consider screening distances for habitats to be input into H1’ scoping document produced by AQMAU.</w:t>
      </w:r>
    </w:p>
    <w:p w14:paraId="6305E355" w14:textId="77777777" w:rsidR="003D449E" w:rsidRPr="00794B16" w:rsidRDefault="003D449E" w:rsidP="00DA2785">
      <w:pPr>
        <w:pStyle w:val="ListParagraph"/>
        <w:spacing w:line="360" w:lineRule="auto"/>
        <w:rPr>
          <w:rFonts w:ascii="Arial" w:hAnsi="Arial" w:cs="Arial"/>
          <w:sz w:val="24"/>
          <w:szCs w:val="24"/>
        </w:rPr>
      </w:pPr>
    </w:p>
    <w:p w14:paraId="58E60F64" w14:textId="02F40077" w:rsidR="003D449E" w:rsidRPr="00794B16" w:rsidRDefault="003D449E" w:rsidP="00DA2785">
      <w:pPr>
        <w:pStyle w:val="ListParagraph"/>
        <w:numPr>
          <w:ilvl w:val="1"/>
          <w:numId w:val="7"/>
        </w:numPr>
        <w:spacing w:line="360" w:lineRule="auto"/>
        <w:rPr>
          <w:rFonts w:ascii="Arial" w:hAnsi="Arial" w:cs="Arial"/>
          <w:sz w:val="24"/>
          <w:szCs w:val="24"/>
        </w:rPr>
      </w:pPr>
      <w:r w:rsidRPr="00794B16">
        <w:rPr>
          <w:rFonts w:ascii="Arial" w:hAnsi="Arial" w:cs="Arial"/>
          <w:sz w:val="24"/>
          <w:szCs w:val="24"/>
        </w:rPr>
        <w:t>The work request was updated in 2019 to incorporate screening distances for installations which fall under Medium Combustion Plant Directive (MCPD).</w:t>
      </w:r>
    </w:p>
    <w:p w14:paraId="65153F89" w14:textId="77777777" w:rsidR="003D449E" w:rsidRPr="00794B16" w:rsidRDefault="003D449E" w:rsidP="003D449E">
      <w:pPr>
        <w:pStyle w:val="ListParagraph"/>
        <w:rPr>
          <w:rFonts w:ascii="Arial" w:hAnsi="Arial" w:cs="Arial"/>
          <w:sz w:val="24"/>
          <w:szCs w:val="24"/>
        </w:rPr>
      </w:pPr>
    </w:p>
    <w:p w14:paraId="7CFBB77E" w14:textId="3B5C4254" w:rsidR="00306E98" w:rsidRPr="00794B16" w:rsidRDefault="00967343" w:rsidP="00306E98">
      <w:pPr>
        <w:pStyle w:val="ListParagraph"/>
        <w:numPr>
          <w:ilvl w:val="0"/>
          <w:numId w:val="3"/>
        </w:numPr>
        <w:rPr>
          <w:rFonts w:ascii="Arial" w:hAnsi="Arial" w:cs="Arial"/>
          <w:b/>
          <w:bCs/>
          <w:sz w:val="24"/>
          <w:szCs w:val="24"/>
        </w:rPr>
      </w:pPr>
      <w:r w:rsidRPr="00794B16">
        <w:rPr>
          <w:rFonts w:ascii="Arial" w:hAnsi="Arial" w:cs="Arial"/>
          <w:b/>
          <w:bCs/>
          <w:sz w:val="24"/>
          <w:szCs w:val="24"/>
        </w:rPr>
        <w:t>Related Documents</w:t>
      </w:r>
    </w:p>
    <w:p w14:paraId="4D1D7A00" w14:textId="77777777" w:rsidR="003D449E" w:rsidRPr="00794B16" w:rsidRDefault="003D449E" w:rsidP="003D449E">
      <w:pPr>
        <w:pStyle w:val="ListParagraph"/>
        <w:ind w:left="360"/>
        <w:rPr>
          <w:rFonts w:ascii="Arial" w:hAnsi="Arial" w:cs="Arial"/>
          <w:b/>
          <w:bCs/>
          <w:sz w:val="24"/>
          <w:szCs w:val="24"/>
        </w:rPr>
      </w:pPr>
    </w:p>
    <w:p w14:paraId="1B16E27A" w14:textId="424FF64F" w:rsidR="003D449E" w:rsidRPr="00794B16" w:rsidRDefault="003D449E" w:rsidP="00DA2785">
      <w:pPr>
        <w:pStyle w:val="ListParagraph"/>
        <w:numPr>
          <w:ilvl w:val="0"/>
          <w:numId w:val="8"/>
        </w:numPr>
        <w:spacing w:line="360" w:lineRule="auto"/>
        <w:rPr>
          <w:rFonts w:ascii="Arial" w:hAnsi="Arial" w:cs="Arial"/>
          <w:sz w:val="24"/>
          <w:szCs w:val="24"/>
        </w:rPr>
      </w:pPr>
      <w:r w:rsidRPr="00794B16">
        <w:rPr>
          <w:rFonts w:ascii="Arial" w:hAnsi="Arial" w:cs="Arial"/>
          <w:sz w:val="24"/>
          <w:szCs w:val="24"/>
        </w:rPr>
        <w:t xml:space="preserve">Guidance: LIT 15674 (13 May 2021) – </w:t>
      </w:r>
      <w:hyperlink r:id="rId8" w:history="1">
        <w:r w:rsidRPr="00794B16">
          <w:rPr>
            <w:rStyle w:val="Hyperlink"/>
            <w:rFonts w:ascii="Arial" w:hAnsi="Arial" w:cs="Arial"/>
            <w:sz w:val="24"/>
            <w:szCs w:val="24"/>
          </w:rPr>
          <w:t>“Habitats Regulations Assessment (HRA): assess permissions, plans or projects”</w:t>
        </w:r>
      </w:hyperlink>
      <w:r w:rsidRPr="00794B16">
        <w:rPr>
          <w:rFonts w:ascii="Arial" w:hAnsi="Arial" w:cs="Arial"/>
          <w:sz w:val="24"/>
          <w:szCs w:val="24"/>
        </w:rPr>
        <w:t xml:space="preserve"> (replaces OI 182_01 and 183_01). </w:t>
      </w:r>
    </w:p>
    <w:p w14:paraId="19A22508" w14:textId="77777777" w:rsidR="003D449E" w:rsidRPr="00794B16" w:rsidRDefault="003D449E" w:rsidP="00DA2785">
      <w:pPr>
        <w:pStyle w:val="ListParagraph"/>
        <w:spacing w:line="360" w:lineRule="auto"/>
        <w:rPr>
          <w:rFonts w:ascii="Arial" w:hAnsi="Arial" w:cs="Arial"/>
          <w:sz w:val="24"/>
          <w:szCs w:val="24"/>
        </w:rPr>
      </w:pPr>
    </w:p>
    <w:p w14:paraId="70145A76" w14:textId="02DA4864" w:rsidR="003D449E" w:rsidRPr="00794B16" w:rsidRDefault="003D449E" w:rsidP="00DA2785">
      <w:pPr>
        <w:pStyle w:val="ListParagraph"/>
        <w:numPr>
          <w:ilvl w:val="0"/>
          <w:numId w:val="8"/>
        </w:numPr>
        <w:spacing w:line="360" w:lineRule="auto"/>
        <w:rPr>
          <w:rFonts w:ascii="Arial" w:hAnsi="Arial" w:cs="Arial"/>
          <w:sz w:val="24"/>
          <w:szCs w:val="24"/>
        </w:rPr>
      </w:pPr>
      <w:r w:rsidRPr="00794B16">
        <w:rPr>
          <w:rFonts w:ascii="Arial" w:hAnsi="Arial" w:cs="Arial"/>
          <w:sz w:val="24"/>
          <w:szCs w:val="24"/>
        </w:rPr>
        <w:t xml:space="preserve">Work Instruction: 141_07 (14/05/2012) </w:t>
      </w:r>
      <w:hyperlink r:id="rId9" w:history="1">
        <w:r w:rsidRPr="00794B16">
          <w:rPr>
            <w:rStyle w:val="Hyperlink"/>
            <w:rFonts w:ascii="Arial" w:hAnsi="Arial" w:cs="Arial"/>
            <w:sz w:val="24"/>
            <w:szCs w:val="24"/>
          </w:rPr>
          <w:t>Applying the Habitats Regulations to water quality permissions to discharge: reviewed and new applications</w:t>
        </w:r>
      </w:hyperlink>
      <w:r w:rsidRPr="00794B16">
        <w:rPr>
          <w:rFonts w:ascii="Arial" w:hAnsi="Arial" w:cs="Arial"/>
          <w:sz w:val="24"/>
          <w:szCs w:val="24"/>
        </w:rPr>
        <w:t xml:space="preserve">. This replaces 95_01 (31 March 2004) </w:t>
      </w:r>
    </w:p>
    <w:p w14:paraId="57DF4D4A" w14:textId="77777777" w:rsidR="003D449E" w:rsidRPr="00794B16" w:rsidRDefault="003D449E" w:rsidP="00DA2785">
      <w:pPr>
        <w:pStyle w:val="ListParagraph"/>
        <w:spacing w:line="360" w:lineRule="auto"/>
        <w:rPr>
          <w:rFonts w:ascii="Arial" w:hAnsi="Arial" w:cs="Arial"/>
          <w:sz w:val="24"/>
          <w:szCs w:val="24"/>
        </w:rPr>
      </w:pPr>
    </w:p>
    <w:p w14:paraId="27FE3413" w14:textId="4464F819" w:rsidR="003D449E" w:rsidRPr="00794B16" w:rsidRDefault="003D449E" w:rsidP="00DA2785">
      <w:pPr>
        <w:pStyle w:val="ListParagraph"/>
        <w:numPr>
          <w:ilvl w:val="0"/>
          <w:numId w:val="8"/>
        </w:numPr>
        <w:spacing w:line="360" w:lineRule="auto"/>
        <w:rPr>
          <w:rFonts w:ascii="Arial" w:hAnsi="Arial" w:cs="Arial"/>
          <w:sz w:val="24"/>
          <w:szCs w:val="24"/>
        </w:rPr>
      </w:pPr>
      <w:r w:rsidRPr="00794B16">
        <w:rPr>
          <w:rFonts w:ascii="Arial" w:hAnsi="Arial" w:cs="Arial"/>
          <w:sz w:val="24"/>
          <w:szCs w:val="24"/>
        </w:rPr>
        <w:t>Environment Agency Operational Instruction 66_12</w:t>
      </w:r>
      <w:hyperlink r:id="rId10" w:history="1">
        <w:r w:rsidRPr="00794B16">
          <w:rPr>
            <w:rStyle w:val="Hyperlink"/>
            <w:rFonts w:ascii="Arial" w:hAnsi="Arial" w:cs="Arial"/>
            <w:sz w:val="24"/>
            <w:szCs w:val="24"/>
          </w:rPr>
          <w:t>: Simple assessment of the impact of aerial emissions from new or expanding IPPC regulated industry for impacts on nature conservation</w:t>
        </w:r>
      </w:hyperlink>
      <w:r w:rsidRPr="00794B16">
        <w:rPr>
          <w:rFonts w:ascii="Arial" w:hAnsi="Arial" w:cs="Arial"/>
          <w:sz w:val="24"/>
          <w:szCs w:val="24"/>
        </w:rPr>
        <w:t xml:space="preserve"> (issued 08/05/2012). </w:t>
      </w:r>
    </w:p>
    <w:p w14:paraId="5E208E33" w14:textId="77777777" w:rsidR="003D449E" w:rsidRPr="00794B16" w:rsidRDefault="003D449E" w:rsidP="00DA2785">
      <w:pPr>
        <w:pStyle w:val="ListParagraph"/>
        <w:spacing w:line="360" w:lineRule="auto"/>
        <w:rPr>
          <w:rFonts w:ascii="Arial" w:hAnsi="Arial" w:cs="Arial"/>
          <w:sz w:val="24"/>
          <w:szCs w:val="24"/>
        </w:rPr>
      </w:pPr>
    </w:p>
    <w:p w14:paraId="12F7F720" w14:textId="65762147" w:rsidR="003D449E" w:rsidRPr="00794B16" w:rsidRDefault="003D449E" w:rsidP="00DA2785">
      <w:pPr>
        <w:pStyle w:val="ListParagraph"/>
        <w:numPr>
          <w:ilvl w:val="0"/>
          <w:numId w:val="8"/>
        </w:numPr>
        <w:spacing w:line="360" w:lineRule="auto"/>
        <w:rPr>
          <w:rFonts w:ascii="Arial" w:hAnsi="Arial" w:cs="Arial"/>
          <w:sz w:val="24"/>
          <w:szCs w:val="24"/>
        </w:rPr>
      </w:pPr>
      <w:r w:rsidRPr="00794B16">
        <w:rPr>
          <w:rFonts w:ascii="Arial" w:hAnsi="Arial" w:cs="Arial"/>
          <w:sz w:val="24"/>
          <w:szCs w:val="24"/>
        </w:rPr>
        <w:t xml:space="preserve">Environment Agency Operational Instruction 67_12: </w:t>
      </w:r>
      <w:hyperlink r:id="rId11" w:history="1">
        <w:r w:rsidRPr="00794B16">
          <w:rPr>
            <w:rStyle w:val="Hyperlink"/>
            <w:rFonts w:ascii="Arial" w:hAnsi="Arial" w:cs="Arial"/>
            <w:sz w:val="24"/>
            <w:szCs w:val="24"/>
          </w:rPr>
          <w:t>Detailed assessment of aerial emissions from new or expanding IPPC regulated industry for impacts on nature conservation</w:t>
        </w:r>
      </w:hyperlink>
      <w:r w:rsidRPr="00794B16">
        <w:rPr>
          <w:rFonts w:ascii="Arial" w:hAnsi="Arial" w:cs="Arial"/>
          <w:sz w:val="24"/>
          <w:szCs w:val="24"/>
        </w:rPr>
        <w:t xml:space="preserve"> (issued 08/05/2012).</w:t>
      </w:r>
    </w:p>
    <w:p w14:paraId="6E866874" w14:textId="114A3FDA" w:rsidR="00E64AE2" w:rsidRPr="00794B16" w:rsidRDefault="00E64AE2" w:rsidP="00DA2785">
      <w:pPr>
        <w:pStyle w:val="ListParagraph"/>
        <w:numPr>
          <w:ilvl w:val="0"/>
          <w:numId w:val="8"/>
        </w:numPr>
        <w:spacing w:line="360" w:lineRule="auto"/>
        <w:rPr>
          <w:rFonts w:ascii="Arial" w:hAnsi="Arial" w:cs="Arial"/>
          <w:sz w:val="24"/>
          <w:szCs w:val="24"/>
        </w:rPr>
      </w:pPr>
      <w:r w:rsidRPr="00794B16">
        <w:rPr>
          <w:rFonts w:ascii="Arial" w:hAnsi="Arial" w:cs="Arial"/>
          <w:sz w:val="24"/>
          <w:szCs w:val="24"/>
        </w:rPr>
        <w:t xml:space="preserve">Environment Agency Operation Instruction 254_06: </w:t>
      </w:r>
      <w:hyperlink r:id="rId12" w:history="1">
        <w:r w:rsidRPr="00794B16">
          <w:rPr>
            <w:rStyle w:val="Hyperlink"/>
            <w:rFonts w:ascii="Arial" w:hAnsi="Arial" w:cs="Arial"/>
            <w:sz w:val="24"/>
            <w:szCs w:val="24"/>
          </w:rPr>
          <w:t>Assessment of new control of Major Accident Hazards (COMAH) permissions under the Habitats Directives</w:t>
        </w:r>
      </w:hyperlink>
      <w:r w:rsidRPr="00794B16">
        <w:rPr>
          <w:rFonts w:ascii="Arial" w:hAnsi="Arial" w:cs="Arial"/>
          <w:sz w:val="24"/>
          <w:szCs w:val="24"/>
        </w:rPr>
        <w:t xml:space="preserve"> (issued 16/10/2012).</w:t>
      </w:r>
    </w:p>
    <w:p w14:paraId="1E669280" w14:textId="77777777" w:rsidR="00E64AE2" w:rsidRPr="00794B16" w:rsidRDefault="00E64AE2" w:rsidP="00E64AE2">
      <w:pPr>
        <w:pStyle w:val="ListParagraph"/>
        <w:rPr>
          <w:rFonts w:ascii="Arial" w:hAnsi="Arial" w:cs="Arial"/>
          <w:sz w:val="24"/>
          <w:szCs w:val="24"/>
        </w:rPr>
      </w:pPr>
    </w:p>
    <w:p w14:paraId="31610860" w14:textId="2F93F4E6" w:rsidR="00967343" w:rsidRPr="00794B16" w:rsidRDefault="00967343" w:rsidP="00306E98">
      <w:pPr>
        <w:pStyle w:val="ListParagraph"/>
        <w:numPr>
          <w:ilvl w:val="0"/>
          <w:numId w:val="3"/>
        </w:numPr>
        <w:rPr>
          <w:rFonts w:ascii="Arial" w:hAnsi="Arial" w:cs="Arial"/>
          <w:b/>
          <w:bCs/>
          <w:sz w:val="24"/>
          <w:szCs w:val="24"/>
        </w:rPr>
      </w:pPr>
      <w:r w:rsidRPr="00794B16">
        <w:rPr>
          <w:rFonts w:ascii="Arial" w:hAnsi="Arial" w:cs="Arial"/>
          <w:b/>
          <w:bCs/>
          <w:sz w:val="24"/>
          <w:szCs w:val="24"/>
        </w:rPr>
        <w:t>Background</w:t>
      </w:r>
    </w:p>
    <w:p w14:paraId="38A4DA4D" w14:textId="77777777" w:rsidR="00E64AE2" w:rsidRPr="00794B16" w:rsidRDefault="00E64AE2" w:rsidP="00E64AE2">
      <w:pPr>
        <w:pStyle w:val="ListParagraph"/>
        <w:ind w:left="360"/>
        <w:rPr>
          <w:rFonts w:ascii="Arial" w:hAnsi="Arial" w:cs="Arial"/>
          <w:b/>
          <w:bCs/>
          <w:sz w:val="24"/>
          <w:szCs w:val="24"/>
        </w:rPr>
      </w:pPr>
    </w:p>
    <w:p w14:paraId="15EB3B7F" w14:textId="77777777" w:rsidR="00E64AE2" w:rsidRPr="00794B16" w:rsidRDefault="00E64AE2" w:rsidP="00E64AE2">
      <w:pPr>
        <w:pStyle w:val="ListParagraph"/>
        <w:numPr>
          <w:ilvl w:val="0"/>
          <w:numId w:val="7"/>
        </w:numPr>
        <w:rPr>
          <w:rFonts w:ascii="Arial" w:hAnsi="Arial" w:cs="Arial"/>
          <w:vanish/>
          <w:sz w:val="24"/>
          <w:szCs w:val="24"/>
        </w:rPr>
      </w:pPr>
    </w:p>
    <w:p w14:paraId="13D8363D" w14:textId="77777777" w:rsidR="00E64AE2" w:rsidRPr="00794B16" w:rsidRDefault="00E64AE2" w:rsidP="00E64AE2">
      <w:pPr>
        <w:pStyle w:val="ListParagraph"/>
        <w:numPr>
          <w:ilvl w:val="0"/>
          <w:numId w:val="7"/>
        </w:numPr>
        <w:rPr>
          <w:rFonts w:ascii="Arial" w:hAnsi="Arial" w:cs="Arial"/>
          <w:vanish/>
          <w:sz w:val="24"/>
          <w:szCs w:val="24"/>
        </w:rPr>
      </w:pPr>
    </w:p>
    <w:p w14:paraId="329E11D9" w14:textId="77777777" w:rsidR="00E64AE2" w:rsidRPr="00794B16" w:rsidRDefault="00E64AE2" w:rsidP="00DA2785">
      <w:pPr>
        <w:pStyle w:val="ListParagraph"/>
        <w:numPr>
          <w:ilvl w:val="1"/>
          <w:numId w:val="7"/>
        </w:numPr>
        <w:spacing w:line="360" w:lineRule="auto"/>
        <w:rPr>
          <w:rFonts w:ascii="Arial" w:hAnsi="Arial" w:cs="Arial"/>
          <w:sz w:val="24"/>
          <w:szCs w:val="24"/>
        </w:rPr>
      </w:pPr>
      <w:r w:rsidRPr="00794B16">
        <w:rPr>
          <w:rFonts w:ascii="Arial" w:hAnsi="Arial" w:cs="Arial"/>
          <w:sz w:val="24"/>
          <w:szCs w:val="24"/>
        </w:rPr>
        <w:t xml:space="preserve">There is a </w:t>
      </w:r>
      <w:proofErr w:type="gramStart"/>
      <w:r w:rsidRPr="00794B16">
        <w:rPr>
          <w:rFonts w:ascii="Arial" w:hAnsi="Arial" w:cs="Arial"/>
          <w:sz w:val="24"/>
          <w:szCs w:val="24"/>
        </w:rPr>
        <w:t>four stage</w:t>
      </w:r>
      <w:proofErr w:type="gramEnd"/>
      <w:r w:rsidRPr="00794B16">
        <w:rPr>
          <w:rFonts w:ascii="Arial" w:hAnsi="Arial" w:cs="Arial"/>
          <w:sz w:val="24"/>
          <w:szCs w:val="24"/>
        </w:rPr>
        <w:t xml:space="preserve"> process for carrying out assessments under the Habitat Regulations: </w:t>
      </w:r>
    </w:p>
    <w:p w14:paraId="122DCCD4" w14:textId="77777777" w:rsidR="00E64AE2" w:rsidRPr="00794B16" w:rsidRDefault="00E64AE2" w:rsidP="00DA2785">
      <w:pPr>
        <w:pStyle w:val="ListParagraph"/>
        <w:spacing w:line="360" w:lineRule="auto"/>
        <w:ind w:left="851"/>
        <w:rPr>
          <w:rFonts w:ascii="Arial" w:hAnsi="Arial" w:cs="Arial"/>
          <w:sz w:val="24"/>
          <w:szCs w:val="24"/>
        </w:rPr>
      </w:pPr>
    </w:p>
    <w:p w14:paraId="596B804D" w14:textId="77777777" w:rsidR="00E64AE2" w:rsidRPr="00794B16" w:rsidRDefault="00E64AE2" w:rsidP="00DA2785">
      <w:pPr>
        <w:pStyle w:val="ListParagraph"/>
        <w:numPr>
          <w:ilvl w:val="2"/>
          <w:numId w:val="7"/>
        </w:numPr>
        <w:spacing w:line="360" w:lineRule="auto"/>
        <w:rPr>
          <w:rFonts w:ascii="Arial" w:hAnsi="Arial" w:cs="Arial"/>
          <w:sz w:val="24"/>
          <w:szCs w:val="24"/>
        </w:rPr>
      </w:pPr>
      <w:r w:rsidRPr="00794B16">
        <w:rPr>
          <w:rFonts w:ascii="Arial" w:hAnsi="Arial" w:cs="Arial"/>
          <w:sz w:val="24"/>
          <w:szCs w:val="24"/>
        </w:rPr>
        <w:t xml:space="preserve">Stage 1 Identification of relevant </w:t>
      </w:r>
      <w:proofErr w:type="gramStart"/>
      <w:r w:rsidRPr="00794B16">
        <w:rPr>
          <w:rFonts w:ascii="Arial" w:hAnsi="Arial" w:cs="Arial"/>
          <w:sz w:val="24"/>
          <w:szCs w:val="24"/>
        </w:rPr>
        <w:t>permissions;</w:t>
      </w:r>
      <w:proofErr w:type="gramEnd"/>
      <w:r w:rsidRPr="00794B16">
        <w:rPr>
          <w:rFonts w:ascii="Arial" w:hAnsi="Arial" w:cs="Arial"/>
          <w:sz w:val="24"/>
          <w:szCs w:val="24"/>
        </w:rPr>
        <w:t xml:space="preserve"> </w:t>
      </w:r>
    </w:p>
    <w:p w14:paraId="51F9DF5D" w14:textId="77777777" w:rsidR="00E64AE2" w:rsidRPr="00794B16" w:rsidRDefault="00E64AE2" w:rsidP="00DA2785">
      <w:pPr>
        <w:pStyle w:val="ListParagraph"/>
        <w:numPr>
          <w:ilvl w:val="2"/>
          <w:numId w:val="7"/>
        </w:numPr>
        <w:spacing w:line="360" w:lineRule="auto"/>
        <w:rPr>
          <w:rFonts w:ascii="Arial" w:hAnsi="Arial" w:cs="Arial"/>
          <w:sz w:val="24"/>
          <w:szCs w:val="24"/>
        </w:rPr>
      </w:pPr>
      <w:r w:rsidRPr="00794B16">
        <w:rPr>
          <w:rFonts w:ascii="Arial" w:hAnsi="Arial" w:cs="Arial"/>
          <w:sz w:val="24"/>
          <w:szCs w:val="24"/>
        </w:rPr>
        <w:t xml:space="preserve">Stage 2 Assessment of likely significant effect for ‘relevant’ permissions </w:t>
      </w:r>
    </w:p>
    <w:p w14:paraId="74B7E4DC" w14:textId="77777777" w:rsidR="00E64AE2" w:rsidRPr="00794B16" w:rsidRDefault="00E64AE2" w:rsidP="00DA2785">
      <w:pPr>
        <w:pStyle w:val="ListParagraph"/>
        <w:numPr>
          <w:ilvl w:val="2"/>
          <w:numId w:val="7"/>
        </w:numPr>
        <w:spacing w:line="360" w:lineRule="auto"/>
        <w:rPr>
          <w:rFonts w:ascii="Arial" w:hAnsi="Arial" w:cs="Arial"/>
          <w:sz w:val="24"/>
          <w:szCs w:val="24"/>
        </w:rPr>
      </w:pPr>
      <w:r w:rsidRPr="00794B16">
        <w:rPr>
          <w:rFonts w:ascii="Arial" w:hAnsi="Arial" w:cs="Arial"/>
          <w:sz w:val="24"/>
          <w:szCs w:val="24"/>
        </w:rPr>
        <w:t>Stage 3 Appropriate assessment for ‘significant’ permissions</w:t>
      </w:r>
    </w:p>
    <w:p w14:paraId="66491C2A" w14:textId="34C36B77" w:rsidR="00E64AE2" w:rsidRPr="00794B16" w:rsidRDefault="00E64AE2" w:rsidP="00DA2785">
      <w:pPr>
        <w:pStyle w:val="ListParagraph"/>
        <w:numPr>
          <w:ilvl w:val="2"/>
          <w:numId w:val="7"/>
        </w:numPr>
        <w:spacing w:line="360" w:lineRule="auto"/>
        <w:rPr>
          <w:rFonts w:ascii="Arial" w:hAnsi="Arial" w:cs="Arial"/>
          <w:sz w:val="24"/>
          <w:szCs w:val="24"/>
        </w:rPr>
      </w:pPr>
      <w:r w:rsidRPr="00794B16">
        <w:rPr>
          <w:rFonts w:ascii="Arial" w:hAnsi="Arial" w:cs="Arial"/>
          <w:sz w:val="24"/>
          <w:szCs w:val="24"/>
        </w:rPr>
        <w:t>Stage 4 Determination of the application.</w:t>
      </w:r>
    </w:p>
    <w:p w14:paraId="0A7DA726" w14:textId="77777777" w:rsidR="00E64AE2" w:rsidRPr="00794B16" w:rsidRDefault="00E64AE2" w:rsidP="00DA2785">
      <w:pPr>
        <w:pStyle w:val="ListParagraph"/>
        <w:spacing w:line="360" w:lineRule="auto"/>
        <w:ind w:left="1080"/>
        <w:rPr>
          <w:rFonts w:ascii="Arial" w:hAnsi="Arial" w:cs="Arial"/>
          <w:sz w:val="24"/>
          <w:szCs w:val="24"/>
        </w:rPr>
      </w:pPr>
    </w:p>
    <w:p w14:paraId="22424525" w14:textId="2DE52868" w:rsidR="00967343" w:rsidRPr="00794B16" w:rsidRDefault="00967343" w:rsidP="00DA2785">
      <w:pPr>
        <w:pStyle w:val="ListParagraph"/>
        <w:numPr>
          <w:ilvl w:val="0"/>
          <w:numId w:val="3"/>
        </w:numPr>
        <w:spacing w:line="360" w:lineRule="auto"/>
        <w:rPr>
          <w:rFonts w:ascii="Arial" w:hAnsi="Arial" w:cs="Arial"/>
          <w:b/>
          <w:bCs/>
          <w:sz w:val="24"/>
          <w:szCs w:val="24"/>
        </w:rPr>
      </w:pPr>
      <w:r w:rsidRPr="00794B16">
        <w:rPr>
          <w:rFonts w:ascii="Arial" w:hAnsi="Arial" w:cs="Arial"/>
          <w:b/>
          <w:bCs/>
          <w:sz w:val="24"/>
          <w:szCs w:val="24"/>
        </w:rPr>
        <w:t>Supplementary Stage 1 Guidance</w:t>
      </w:r>
    </w:p>
    <w:p w14:paraId="7254CE12" w14:textId="77777777" w:rsidR="007A2884" w:rsidRPr="00794B16" w:rsidRDefault="007A2884" w:rsidP="00DA2785">
      <w:pPr>
        <w:pStyle w:val="ListParagraph"/>
        <w:spacing w:line="360" w:lineRule="auto"/>
        <w:ind w:left="360"/>
        <w:rPr>
          <w:rFonts w:ascii="Arial" w:hAnsi="Arial" w:cs="Arial"/>
          <w:b/>
          <w:bCs/>
          <w:sz w:val="24"/>
          <w:szCs w:val="24"/>
        </w:rPr>
      </w:pPr>
    </w:p>
    <w:p w14:paraId="3650AA65" w14:textId="77777777" w:rsidR="007A2884" w:rsidRPr="00794B16" w:rsidRDefault="007A2884" w:rsidP="00DA2785">
      <w:pPr>
        <w:pStyle w:val="ListParagraph"/>
        <w:numPr>
          <w:ilvl w:val="0"/>
          <w:numId w:val="7"/>
        </w:numPr>
        <w:spacing w:line="360" w:lineRule="auto"/>
        <w:rPr>
          <w:rFonts w:ascii="Arial" w:hAnsi="Arial" w:cs="Arial"/>
          <w:vanish/>
          <w:sz w:val="24"/>
          <w:szCs w:val="24"/>
        </w:rPr>
      </w:pPr>
    </w:p>
    <w:p w14:paraId="2462FAE4" w14:textId="77777777" w:rsidR="007A2884" w:rsidRPr="00794B16" w:rsidRDefault="007A2884" w:rsidP="00DA2785">
      <w:pPr>
        <w:pStyle w:val="ListParagraph"/>
        <w:numPr>
          <w:ilvl w:val="1"/>
          <w:numId w:val="7"/>
        </w:numPr>
        <w:spacing w:line="360" w:lineRule="auto"/>
        <w:rPr>
          <w:rFonts w:ascii="Arial" w:hAnsi="Arial" w:cs="Arial"/>
          <w:sz w:val="24"/>
          <w:szCs w:val="24"/>
        </w:rPr>
      </w:pPr>
      <w:proofErr w:type="gramStart"/>
      <w:r w:rsidRPr="00794B16">
        <w:rPr>
          <w:rFonts w:ascii="Arial" w:hAnsi="Arial" w:cs="Arial"/>
          <w:sz w:val="24"/>
          <w:szCs w:val="24"/>
        </w:rPr>
        <w:t>In order to</w:t>
      </w:r>
      <w:proofErr w:type="gramEnd"/>
      <w:r w:rsidRPr="00794B16">
        <w:rPr>
          <w:rFonts w:ascii="Arial" w:hAnsi="Arial" w:cs="Arial"/>
          <w:sz w:val="24"/>
          <w:szCs w:val="24"/>
        </w:rPr>
        <w:t xml:space="preserve"> identify applications for installations with combustion processes that are relevant under the Habitats Regulations having used the relevant Stage 1 distance screening criteria (15km for power stations over 100 </w:t>
      </w:r>
      <w:proofErr w:type="spellStart"/>
      <w:r w:rsidRPr="00794B16">
        <w:rPr>
          <w:rFonts w:ascii="Arial" w:hAnsi="Arial" w:cs="Arial"/>
          <w:sz w:val="24"/>
          <w:szCs w:val="24"/>
        </w:rPr>
        <w:t>MWth</w:t>
      </w:r>
      <w:proofErr w:type="spellEnd"/>
      <w:r w:rsidRPr="00794B16">
        <w:rPr>
          <w:rFonts w:ascii="Arial" w:hAnsi="Arial" w:cs="Arial"/>
          <w:sz w:val="24"/>
          <w:szCs w:val="24"/>
        </w:rPr>
        <w:t xml:space="preserve"> and 10km for other EPR installations), the following supplementary guidance should be used. </w:t>
      </w:r>
    </w:p>
    <w:p w14:paraId="6F161F3F" w14:textId="77777777" w:rsidR="007A2884" w:rsidRPr="00794B16" w:rsidRDefault="007A2884" w:rsidP="00DA2785">
      <w:pPr>
        <w:pStyle w:val="ListParagraph"/>
        <w:spacing w:line="360" w:lineRule="auto"/>
        <w:ind w:left="851"/>
        <w:rPr>
          <w:rFonts w:ascii="Arial" w:hAnsi="Arial" w:cs="Arial"/>
          <w:sz w:val="24"/>
          <w:szCs w:val="24"/>
        </w:rPr>
      </w:pPr>
    </w:p>
    <w:p w14:paraId="797951A3" w14:textId="77777777" w:rsidR="007A2884" w:rsidRPr="00794B16" w:rsidRDefault="007A2884" w:rsidP="00DA2785">
      <w:pPr>
        <w:pStyle w:val="ListParagraph"/>
        <w:numPr>
          <w:ilvl w:val="1"/>
          <w:numId w:val="7"/>
        </w:numPr>
        <w:spacing w:line="360" w:lineRule="auto"/>
        <w:rPr>
          <w:rFonts w:ascii="Arial" w:hAnsi="Arial" w:cs="Arial"/>
          <w:sz w:val="24"/>
          <w:szCs w:val="24"/>
        </w:rPr>
      </w:pPr>
      <w:r w:rsidRPr="00794B16">
        <w:rPr>
          <w:rFonts w:ascii="Arial" w:hAnsi="Arial" w:cs="Arial"/>
          <w:sz w:val="24"/>
          <w:szCs w:val="24"/>
        </w:rPr>
        <w:t xml:space="preserve">The distance screening criteria outlined in Table 1 must be used to identify applications that are relevant for assessment of air pollution impacts at European sites and Sites of Special Scientific Interest for all installations with combustion processes. </w:t>
      </w:r>
    </w:p>
    <w:p w14:paraId="338340A0" w14:textId="77777777" w:rsidR="007A2884" w:rsidRPr="00794B16" w:rsidRDefault="007A2884" w:rsidP="00DA2785">
      <w:pPr>
        <w:pStyle w:val="ListParagraph"/>
        <w:spacing w:line="360" w:lineRule="auto"/>
        <w:rPr>
          <w:rFonts w:ascii="Arial" w:hAnsi="Arial" w:cs="Arial"/>
          <w:sz w:val="24"/>
          <w:szCs w:val="24"/>
        </w:rPr>
      </w:pPr>
    </w:p>
    <w:p w14:paraId="76B81C17" w14:textId="77777777" w:rsidR="007A2884" w:rsidRPr="00794B16" w:rsidRDefault="007A2884" w:rsidP="00DA2785">
      <w:pPr>
        <w:pStyle w:val="ListParagraph"/>
        <w:numPr>
          <w:ilvl w:val="1"/>
          <w:numId w:val="7"/>
        </w:numPr>
        <w:spacing w:line="360" w:lineRule="auto"/>
        <w:rPr>
          <w:rFonts w:ascii="Arial" w:hAnsi="Arial" w:cs="Arial"/>
          <w:sz w:val="24"/>
          <w:szCs w:val="24"/>
        </w:rPr>
      </w:pPr>
      <w:r w:rsidRPr="00794B16">
        <w:rPr>
          <w:rFonts w:ascii="Arial" w:hAnsi="Arial" w:cs="Arial"/>
          <w:sz w:val="24"/>
          <w:szCs w:val="24"/>
        </w:rPr>
        <w:t xml:space="preserve">The distance screening criteria outlined in Table 2 must be used to identify applications that are relevant for assessment of air pollution impacts at local sites for all installations with combustion processes. </w:t>
      </w:r>
    </w:p>
    <w:p w14:paraId="595D3168" w14:textId="77777777" w:rsidR="007A2884" w:rsidRPr="00794B16" w:rsidRDefault="007A2884" w:rsidP="00DA2785">
      <w:pPr>
        <w:pStyle w:val="ListParagraph"/>
        <w:spacing w:line="360" w:lineRule="auto"/>
        <w:rPr>
          <w:rFonts w:ascii="Arial" w:hAnsi="Arial" w:cs="Arial"/>
          <w:sz w:val="24"/>
          <w:szCs w:val="24"/>
        </w:rPr>
      </w:pPr>
    </w:p>
    <w:p w14:paraId="583C74BE" w14:textId="77777777" w:rsidR="007A2884" w:rsidRPr="00794B16" w:rsidRDefault="007A2884" w:rsidP="00DA2785">
      <w:pPr>
        <w:pStyle w:val="ListParagraph"/>
        <w:numPr>
          <w:ilvl w:val="1"/>
          <w:numId w:val="7"/>
        </w:numPr>
        <w:spacing w:line="360" w:lineRule="auto"/>
        <w:rPr>
          <w:rFonts w:ascii="Arial" w:hAnsi="Arial" w:cs="Arial"/>
          <w:sz w:val="24"/>
          <w:szCs w:val="24"/>
        </w:rPr>
      </w:pPr>
      <w:r w:rsidRPr="00794B16">
        <w:rPr>
          <w:rFonts w:ascii="Arial" w:hAnsi="Arial" w:cs="Arial"/>
          <w:sz w:val="24"/>
          <w:szCs w:val="24"/>
        </w:rPr>
        <w:t xml:space="preserve">Standard rules or other regulatory position statements take precedence over this supplementary guidance. There may also be local considerations that would take precedence over this supplementary guidance. NPS should consult with local Area teams to ensure any relevant local knowledge is incorporated in the assessment. </w:t>
      </w:r>
    </w:p>
    <w:p w14:paraId="03B23C37" w14:textId="77777777" w:rsidR="007A2884" w:rsidRPr="00794B16" w:rsidRDefault="007A2884" w:rsidP="00DA2785">
      <w:pPr>
        <w:pStyle w:val="ListParagraph"/>
        <w:spacing w:line="360" w:lineRule="auto"/>
        <w:rPr>
          <w:rFonts w:ascii="Arial" w:hAnsi="Arial" w:cs="Arial"/>
          <w:sz w:val="24"/>
          <w:szCs w:val="24"/>
        </w:rPr>
      </w:pPr>
    </w:p>
    <w:p w14:paraId="71B11F34" w14:textId="7C3C1737" w:rsidR="007A2884" w:rsidRPr="00794B16" w:rsidRDefault="007A2884" w:rsidP="007A2884">
      <w:pPr>
        <w:pStyle w:val="ListParagraph"/>
        <w:numPr>
          <w:ilvl w:val="1"/>
          <w:numId w:val="7"/>
        </w:numPr>
        <w:spacing w:line="360" w:lineRule="auto"/>
        <w:rPr>
          <w:rFonts w:ascii="Arial" w:hAnsi="Arial" w:cs="Arial"/>
          <w:sz w:val="24"/>
          <w:szCs w:val="24"/>
        </w:rPr>
      </w:pPr>
      <w:r w:rsidRPr="00794B16">
        <w:rPr>
          <w:rFonts w:ascii="Arial" w:hAnsi="Arial" w:cs="Arial"/>
          <w:sz w:val="24"/>
          <w:szCs w:val="24"/>
        </w:rPr>
        <w:t>Combustion processes from installations within the size and distance from European site criteria shown in Tables 1 and 2 should be taken forward to Stage 2 to assess their likely significant effect.</w:t>
      </w:r>
    </w:p>
    <w:p w14:paraId="2D7A9A72" w14:textId="77777777" w:rsidR="00DA2785" w:rsidRPr="00794B16" w:rsidRDefault="00DA2785" w:rsidP="00DA2785">
      <w:pPr>
        <w:pStyle w:val="ListParagraph"/>
        <w:rPr>
          <w:rFonts w:ascii="Arial" w:hAnsi="Arial" w:cs="Arial"/>
          <w:sz w:val="24"/>
          <w:szCs w:val="24"/>
        </w:rPr>
      </w:pPr>
    </w:p>
    <w:p w14:paraId="2B17072A" w14:textId="77777777" w:rsidR="00DA2785" w:rsidRDefault="00DA2785" w:rsidP="00DA2785">
      <w:pPr>
        <w:pStyle w:val="ListParagraph"/>
        <w:spacing w:line="360" w:lineRule="auto"/>
        <w:ind w:left="851"/>
        <w:rPr>
          <w:rFonts w:ascii="Arial" w:hAnsi="Arial" w:cs="Arial"/>
          <w:sz w:val="24"/>
          <w:szCs w:val="24"/>
        </w:rPr>
      </w:pPr>
    </w:p>
    <w:p w14:paraId="068720D4" w14:textId="77777777" w:rsidR="00794B16" w:rsidRDefault="00794B16" w:rsidP="00DA2785">
      <w:pPr>
        <w:pStyle w:val="ListParagraph"/>
        <w:spacing w:line="360" w:lineRule="auto"/>
        <w:ind w:left="851"/>
        <w:rPr>
          <w:rFonts w:ascii="Arial" w:hAnsi="Arial" w:cs="Arial"/>
          <w:sz w:val="24"/>
          <w:szCs w:val="24"/>
        </w:rPr>
      </w:pPr>
    </w:p>
    <w:p w14:paraId="5A57965E" w14:textId="77777777" w:rsidR="00794B16" w:rsidRDefault="00794B16" w:rsidP="00DA2785">
      <w:pPr>
        <w:pStyle w:val="ListParagraph"/>
        <w:spacing w:line="360" w:lineRule="auto"/>
        <w:ind w:left="851"/>
        <w:rPr>
          <w:rFonts w:ascii="Arial" w:hAnsi="Arial" w:cs="Arial"/>
          <w:sz w:val="24"/>
          <w:szCs w:val="24"/>
        </w:rPr>
      </w:pPr>
    </w:p>
    <w:p w14:paraId="77E3DE77" w14:textId="77777777" w:rsidR="00794B16" w:rsidRDefault="00794B16" w:rsidP="00DA2785">
      <w:pPr>
        <w:pStyle w:val="ListParagraph"/>
        <w:spacing w:line="360" w:lineRule="auto"/>
        <w:ind w:left="851"/>
        <w:rPr>
          <w:rFonts w:ascii="Arial" w:hAnsi="Arial" w:cs="Arial"/>
          <w:sz w:val="24"/>
          <w:szCs w:val="24"/>
        </w:rPr>
      </w:pPr>
    </w:p>
    <w:p w14:paraId="05907C2A" w14:textId="77777777" w:rsidR="00794B16" w:rsidRDefault="00794B16" w:rsidP="00DA2785">
      <w:pPr>
        <w:pStyle w:val="ListParagraph"/>
        <w:spacing w:line="360" w:lineRule="auto"/>
        <w:ind w:left="851"/>
        <w:rPr>
          <w:rFonts w:ascii="Arial" w:hAnsi="Arial" w:cs="Arial"/>
          <w:sz w:val="24"/>
          <w:szCs w:val="24"/>
        </w:rPr>
      </w:pPr>
    </w:p>
    <w:p w14:paraId="50D1DF31" w14:textId="77777777" w:rsidR="00794B16" w:rsidRDefault="00794B16" w:rsidP="00DA2785">
      <w:pPr>
        <w:pStyle w:val="ListParagraph"/>
        <w:spacing w:line="360" w:lineRule="auto"/>
        <w:ind w:left="851"/>
        <w:rPr>
          <w:rFonts w:ascii="Arial" w:hAnsi="Arial" w:cs="Arial"/>
          <w:sz w:val="24"/>
          <w:szCs w:val="24"/>
        </w:rPr>
      </w:pPr>
    </w:p>
    <w:p w14:paraId="3A26327D" w14:textId="77777777" w:rsidR="00794B16" w:rsidRDefault="00794B16" w:rsidP="00DA2785">
      <w:pPr>
        <w:pStyle w:val="ListParagraph"/>
        <w:spacing w:line="360" w:lineRule="auto"/>
        <w:ind w:left="851"/>
        <w:rPr>
          <w:rFonts w:ascii="Arial" w:hAnsi="Arial" w:cs="Arial"/>
          <w:sz w:val="24"/>
          <w:szCs w:val="24"/>
        </w:rPr>
      </w:pPr>
    </w:p>
    <w:p w14:paraId="130597C5" w14:textId="77777777" w:rsidR="001B5471" w:rsidRDefault="001B5471" w:rsidP="00DA2785">
      <w:pPr>
        <w:pStyle w:val="ListParagraph"/>
        <w:spacing w:line="360" w:lineRule="auto"/>
        <w:ind w:left="851"/>
        <w:rPr>
          <w:rFonts w:ascii="Arial" w:hAnsi="Arial" w:cs="Arial"/>
          <w:sz w:val="24"/>
          <w:szCs w:val="24"/>
        </w:rPr>
      </w:pPr>
    </w:p>
    <w:p w14:paraId="7951BDCA" w14:textId="77777777" w:rsidR="001B5471" w:rsidRDefault="001B5471" w:rsidP="00DA2785">
      <w:pPr>
        <w:pStyle w:val="ListParagraph"/>
        <w:spacing w:line="360" w:lineRule="auto"/>
        <w:ind w:left="851"/>
        <w:rPr>
          <w:rFonts w:ascii="Arial" w:hAnsi="Arial" w:cs="Arial"/>
          <w:sz w:val="24"/>
          <w:szCs w:val="24"/>
        </w:rPr>
      </w:pPr>
    </w:p>
    <w:p w14:paraId="4F0D867D" w14:textId="77777777" w:rsidR="00794B16" w:rsidRPr="00794B16" w:rsidRDefault="00794B16" w:rsidP="00DA2785">
      <w:pPr>
        <w:pStyle w:val="ListParagraph"/>
        <w:spacing w:line="360" w:lineRule="auto"/>
        <w:ind w:left="851"/>
        <w:rPr>
          <w:rFonts w:ascii="Arial" w:hAnsi="Arial" w:cs="Arial"/>
          <w:sz w:val="24"/>
          <w:szCs w:val="24"/>
        </w:rPr>
      </w:pPr>
    </w:p>
    <w:p w14:paraId="3E3FBF2B" w14:textId="6598F9B5" w:rsidR="00AF45D4" w:rsidRPr="00794B16" w:rsidRDefault="00AF45D4" w:rsidP="00804A63">
      <w:pPr>
        <w:pStyle w:val="ListParagraph"/>
        <w:spacing w:after="720"/>
        <w:ind w:left="0"/>
        <w:rPr>
          <w:rFonts w:ascii="Arial" w:hAnsi="Arial" w:cs="Arial"/>
          <w:b/>
          <w:bCs/>
          <w:sz w:val="24"/>
          <w:szCs w:val="24"/>
        </w:rPr>
      </w:pPr>
      <w:r w:rsidRPr="00794B16">
        <w:rPr>
          <w:rFonts w:ascii="Arial" w:hAnsi="Arial" w:cs="Arial"/>
          <w:b/>
          <w:bCs/>
          <w:sz w:val="24"/>
          <w:szCs w:val="24"/>
        </w:rPr>
        <w:t>Table 1. European sites and Sites of Special Scientific Interest screening distance criteria for installations with combustion processes.</w:t>
      </w:r>
    </w:p>
    <w:p w14:paraId="08083E47" w14:textId="77777777" w:rsidR="00804A63" w:rsidRPr="00804A63" w:rsidRDefault="00804A63" w:rsidP="00804A63">
      <w:pPr>
        <w:pStyle w:val="ListParagraph"/>
        <w:spacing w:after="720"/>
        <w:ind w:left="0"/>
        <w:rPr>
          <w:rFonts w:ascii="Arial" w:hAnsi="Arial" w:cs="Arial"/>
          <w:b/>
          <w:bCs/>
          <w:sz w:val="18"/>
          <w:szCs w:val="18"/>
        </w:rPr>
      </w:pPr>
    </w:p>
    <w:tbl>
      <w:tblPr>
        <w:tblStyle w:val="TableGrid"/>
        <w:tblW w:w="0" w:type="auto"/>
        <w:jc w:val="center"/>
        <w:tblLook w:val="04A0" w:firstRow="1" w:lastRow="0" w:firstColumn="1" w:lastColumn="0" w:noHBand="0" w:noVBand="1"/>
        <w:tblCaption w:val="European sites and Sites of Special Scientific Interest screening distance criteria for insallations with combustion process."/>
      </w:tblPr>
      <w:tblGrid>
        <w:gridCol w:w="2254"/>
        <w:gridCol w:w="2254"/>
        <w:gridCol w:w="2254"/>
        <w:gridCol w:w="2254"/>
      </w:tblGrid>
      <w:tr w:rsidR="0057601B" w:rsidRPr="00794B16" w14:paraId="6C22796E" w14:textId="77777777" w:rsidTr="00DA2785">
        <w:trPr>
          <w:cantSplit/>
          <w:trHeight w:val="567"/>
          <w:tblHeader/>
          <w:jc w:val="center"/>
        </w:trPr>
        <w:tc>
          <w:tcPr>
            <w:tcW w:w="2254" w:type="dxa"/>
            <w:vMerge w:val="restart"/>
            <w:vAlign w:val="center"/>
          </w:tcPr>
          <w:p w14:paraId="7EECB040" w14:textId="57177C0A" w:rsidR="0057601B" w:rsidRPr="00794B16" w:rsidRDefault="0057601B" w:rsidP="00AF45D4">
            <w:pPr>
              <w:pStyle w:val="ListParagraph"/>
              <w:ind w:left="0"/>
              <w:rPr>
                <w:rFonts w:ascii="Arial" w:hAnsi="Arial" w:cs="Arial"/>
                <w:b/>
                <w:bCs/>
                <w:sz w:val="24"/>
                <w:szCs w:val="24"/>
              </w:rPr>
            </w:pPr>
            <w:r w:rsidRPr="00794B16">
              <w:rPr>
                <w:rFonts w:ascii="Arial" w:hAnsi="Arial" w:cs="Arial"/>
                <w:b/>
                <w:bCs/>
                <w:sz w:val="24"/>
                <w:szCs w:val="24"/>
              </w:rPr>
              <w:t>Combined rated thermal input (</w:t>
            </w:r>
            <w:proofErr w:type="spellStart"/>
            <w:r w:rsidRPr="00794B16">
              <w:rPr>
                <w:rFonts w:ascii="Arial" w:hAnsi="Arial" w:cs="Arial"/>
                <w:b/>
                <w:bCs/>
                <w:sz w:val="24"/>
                <w:szCs w:val="24"/>
              </w:rPr>
              <w:t>MWth</w:t>
            </w:r>
            <w:proofErr w:type="spellEnd"/>
            <w:r w:rsidRPr="00794B16">
              <w:rPr>
                <w:rFonts w:ascii="Arial" w:hAnsi="Arial" w:cs="Arial"/>
                <w:b/>
                <w:bCs/>
                <w:sz w:val="24"/>
                <w:szCs w:val="24"/>
              </w:rPr>
              <w:t>)</w:t>
            </w:r>
            <w:r w:rsidRPr="00794B16">
              <w:rPr>
                <w:rFonts w:ascii="Arial" w:hAnsi="Arial" w:cs="Arial"/>
                <w:b/>
                <w:bCs/>
                <w:sz w:val="24"/>
                <w:szCs w:val="24"/>
                <w:vertAlign w:val="superscript"/>
              </w:rPr>
              <w:t>1</w:t>
            </w:r>
          </w:p>
        </w:tc>
        <w:tc>
          <w:tcPr>
            <w:tcW w:w="6762" w:type="dxa"/>
            <w:gridSpan w:val="3"/>
            <w:vAlign w:val="center"/>
          </w:tcPr>
          <w:p w14:paraId="64F37D80" w14:textId="6CD381BE" w:rsidR="0057601B" w:rsidRPr="00794B16" w:rsidRDefault="0057601B" w:rsidP="00AF45D4">
            <w:pPr>
              <w:pStyle w:val="ListParagraph"/>
              <w:ind w:left="0"/>
              <w:rPr>
                <w:rFonts w:ascii="Arial" w:hAnsi="Arial" w:cs="Arial"/>
                <w:b/>
                <w:bCs/>
                <w:sz w:val="24"/>
                <w:szCs w:val="24"/>
              </w:rPr>
            </w:pPr>
            <w:r w:rsidRPr="00794B16">
              <w:rPr>
                <w:rFonts w:ascii="Arial" w:hAnsi="Arial" w:cs="Arial"/>
                <w:b/>
                <w:bCs/>
                <w:sz w:val="24"/>
                <w:szCs w:val="24"/>
              </w:rPr>
              <w:t>Distance to site (European site or Site of Special Scientific Interest)</w:t>
            </w:r>
          </w:p>
        </w:tc>
      </w:tr>
      <w:tr w:rsidR="0057601B" w:rsidRPr="00794B16" w14:paraId="78144CEE" w14:textId="77777777" w:rsidTr="00DA2785">
        <w:trPr>
          <w:cantSplit/>
          <w:trHeight w:val="567"/>
          <w:jc w:val="center"/>
        </w:trPr>
        <w:tc>
          <w:tcPr>
            <w:tcW w:w="2254" w:type="dxa"/>
            <w:vMerge/>
            <w:vAlign w:val="center"/>
          </w:tcPr>
          <w:p w14:paraId="01995A50" w14:textId="77777777" w:rsidR="0057601B" w:rsidRPr="00794B16" w:rsidRDefault="0057601B" w:rsidP="00AF45D4">
            <w:pPr>
              <w:pStyle w:val="ListParagraph"/>
              <w:ind w:left="0"/>
              <w:rPr>
                <w:rFonts w:ascii="Arial" w:hAnsi="Arial" w:cs="Arial"/>
                <w:b/>
                <w:bCs/>
                <w:sz w:val="24"/>
                <w:szCs w:val="24"/>
              </w:rPr>
            </w:pPr>
          </w:p>
        </w:tc>
        <w:tc>
          <w:tcPr>
            <w:tcW w:w="2254" w:type="dxa"/>
            <w:vAlign w:val="center"/>
          </w:tcPr>
          <w:p w14:paraId="732A7185" w14:textId="5C93F363" w:rsidR="0057601B" w:rsidRPr="00794B16" w:rsidRDefault="0057601B" w:rsidP="00AF45D4">
            <w:pPr>
              <w:pStyle w:val="ListParagraph"/>
              <w:ind w:left="0"/>
              <w:rPr>
                <w:rFonts w:ascii="Arial" w:hAnsi="Arial" w:cs="Arial"/>
                <w:b/>
                <w:bCs/>
                <w:sz w:val="24"/>
                <w:szCs w:val="24"/>
              </w:rPr>
            </w:pPr>
            <w:r w:rsidRPr="00794B16">
              <w:rPr>
                <w:rFonts w:ascii="Arial" w:hAnsi="Arial" w:cs="Arial"/>
                <w:b/>
                <w:bCs/>
                <w:sz w:val="24"/>
                <w:szCs w:val="24"/>
              </w:rPr>
              <w:t>Fuels with no SO2 ELVs</w:t>
            </w:r>
            <w:r w:rsidRPr="00794B16">
              <w:rPr>
                <w:rFonts w:ascii="Arial" w:hAnsi="Arial" w:cs="Arial"/>
                <w:b/>
                <w:bCs/>
                <w:sz w:val="24"/>
                <w:szCs w:val="24"/>
                <w:vertAlign w:val="superscript"/>
              </w:rPr>
              <w:t>2</w:t>
            </w:r>
          </w:p>
        </w:tc>
        <w:tc>
          <w:tcPr>
            <w:tcW w:w="2254" w:type="dxa"/>
            <w:vAlign w:val="center"/>
          </w:tcPr>
          <w:p w14:paraId="3E51FFF1" w14:textId="0F58AEA5" w:rsidR="0057601B" w:rsidRPr="00794B16" w:rsidRDefault="0057601B" w:rsidP="00AF45D4">
            <w:pPr>
              <w:pStyle w:val="ListParagraph"/>
              <w:ind w:left="0"/>
              <w:rPr>
                <w:rFonts w:ascii="Arial" w:hAnsi="Arial" w:cs="Arial"/>
                <w:b/>
                <w:bCs/>
                <w:sz w:val="24"/>
                <w:szCs w:val="24"/>
              </w:rPr>
            </w:pPr>
            <w:r w:rsidRPr="00794B16">
              <w:rPr>
                <w:rFonts w:ascii="Arial" w:hAnsi="Arial" w:cs="Arial"/>
                <w:b/>
                <w:bCs/>
                <w:sz w:val="24"/>
                <w:szCs w:val="24"/>
              </w:rPr>
              <w:t>Lower sulphurous fuel</w:t>
            </w:r>
            <w:r w:rsidRPr="00794B16">
              <w:rPr>
                <w:rFonts w:ascii="Arial" w:hAnsi="Arial" w:cs="Arial"/>
                <w:b/>
                <w:bCs/>
                <w:sz w:val="24"/>
                <w:szCs w:val="24"/>
                <w:vertAlign w:val="superscript"/>
              </w:rPr>
              <w:t>2</w:t>
            </w:r>
          </w:p>
        </w:tc>
        <w:tc>
          <w:tcPr>
            <w:tcW w:w="2254" w:type="dxa"/>
            <w:vAlign w:val="center"/>
          </w:tcPr>
          <w:p w14:paraId="6AD492E5" w14:textId="293F821B" w:rsidR="0057601B" w:rsidRPr="00794B16" w:rsidRDefault="0057601B" w:rsidP="00AF45D4">
            <w:pPr>
              <w:pStyle w:val="ListParagraph"/>
              <w:ind w:left="0"/>
              <w:rPr>
                <w:rFonts w:ascii="Arial" w:hAnsi="Arial" w:cs="Arial"/>
                <w:b/>
                <w:bCs/>
                <w:sz w:val="24"/>
                <w:szCs w:val="24"/>
              </w:rPr>
            </w:pPr>
            <w:r w:rsidRPr="00794B16">
              <w:rPr>
                <w:rFonts w:ascii="Arial" w:hAnsi="Arial" w:cs="Arial"/>
                <w:b/>
                <w:bCs/>
                <w:sz w:val="24"/>
                <w:szCs w:val="24"/>
              </w:rPr>
              <w:t>Higher sulphurous fuel</w:t>
            </w:r>
            <w:r w:rsidRPr="00794B16">
              <w:rPr>
                <w:rFonts w:ascii="Arial" w:hAnsi="Arial" w:cs="Arial"/>
                <w:b/>
                <w:bCs/>
                <w:sz w:val="24"/>
                <w:szCs w:val="24"/>
                <w:vertAlign w:val="superscript"/>
              </w:rPr>
              <w:t>2</w:t>
            </w:r>
          </w:p>
        </w:tc>
      </w:tr>
      <w:tr w:rsidR="0057601B" w:rsidRPr="00794B16" w14:paraId="3A6E4B82" w14:textId="77777777" w:rsidTr="00DA2785">
        <w:trPr>
          <w:cantSplit/>
          <w:trHeight w:val="1134"/>
          <w:jc w:val="center"/>
        </w:trPr>
        <w:tc>
          <w:tcPr>
            <w:tcW w:w="2254" w:type="dxa"/>
            <w:vMerge/>
            <w:vAlign w:val="center"/>
          </w:tcPr>
          <w:p w14:paraId="3DD83C79" w14:textId="77777777" w:rsidR="0057601B" w:rsidRPr="00794B16" w:rsidRDefault="0057601B" w:rsidP="00AF45D4">
            <w:pPr>
              <w:pStyle w:val="ListParagraph"/>
              <w:ind w:left="0"/>
              <w:rPr>
                <w:rFonts w:ascii="Arial" w:hAnsi="Arial" w:cs="Arial"/>
                <w:b/>
                <w:bCs/>
                <w:sz w:val="24"/>
                <w:szCs w:val="24"/>
              </w:rPr>
            </w:pPr>
          </w:p>
        </w:tc>
        <w:tc>
          <w:tcPr>
            <w:tcW w:w="2254" w:type="dxa"/>
            <w:vAlign w:val="center"/>
          </w:tcPr>
          <w:p w14:paraId="2B94CB18" w14:textId="4427C467" w:rsidR="0057601B" w:rsidRPr="00794B16" w:rsidRDefault="002442A9" w:rsidP="00AF45D4">
            <w:pPr>
              <w:pStyle w:val="ListParagraph"/>
              <w:ind w:left="0"/>
              <w:rPr>
                <w:rFonts w:ascii="Arial" w:hAnsi="Arial" w:cs="Arial"/>
                <w:b/>
                <w:bCs/>
                <w:sz w:val="24"/>
                <w:szCs w:val="24"/>
              </w:rPr>
            </w:pPr>
            <w:r w:rsidRPr="00794B16">
              <w:rPr>
                <w:rFonts w:ascii="Arial" w:hAnsi="Arial" w:cs="Arial"/>
                <w:b/>
                <w:bCs/>
                <w:sz w:val="24"/>
                <w:szCs w:val="24"/>
              </w:rPr>
              <w:t>Natural gas (NG) and gas oil combustion appliances</w:t>
            </w:r>
            <w:r w:rsidRPr="00794B16">
              <w:rPr>
                <w:rFonts w:ascii="Arial" w:hAnsi="Arial" w:cs="Arial"/>
                <w:b/>
                <w:bCs/>
                <w:sz w:val="24"/>
                <w:szCs w:val="24"/>
                <w:vertAlign w:val="superscript"/>
              </w:rPr>
              <w:t>3</w:t>
            </w:r>
          </w:p>
        </w:tc>
        <w:tc>
          <w:tcPr>
            <w:tcW w:w="2254" w:type="dxa"/>
            <w:vAlign w:val="center"/>
          </w:tcPr>
          <w:p w14:paraId="06402918" w14:textId="293DF1A4" w:rsidR="0057601B" w:rsidRPr="00794B16" w:rsidRDefault="002442A9" w:rsidP="00AF45D4">
            <w:pPr>
              <w:pStyle w:val="ListParagraph"/>
              <w:ind w:left="0"/>
              <w:rPr>
                <w:rFonts w:ascii="Arial" w:hAnsi="Arial" w:cs="Arial"/>
                <w:b/>
                <w:bCs/>
                <w:sz w:val="24"/>
                <w:szCs w:val="24"/>
              </w:rPr>
            </w:pPr>
            <w:r w:rsidRPr="00794B16">
              <w:rPr>
                <w:rFonts w:ascii="Arial" w:hAnsi="Arial" w:cs="Arial"/>
                <w:b/>
                <w:bCs/>
                <w:sz w:val="24"/>
                <w:szCs w:val="24"/>
              </w:rPr>
              <w:t>Gas other than NG combustion appliances</w:t>
            </w:r>
            <w:r w:rsidRPr="00794B16">
              <w:rPr>
                <w:rFonts w:ascii="Arial" w:hAnsi="Arial" w:cs="Arial"/>
                <w:b/>
                <w:bCs/>
                <w:sz w:val="24"/>
                <w:szCs w:val="24"/>
                <w:vertAlign w:val="superscript"/>
              </w:rPr>
              <w:t>4</w:t>
            </w:r>
          </w:p>
        </w:tc>
        <w:tc>
          <w:tcPr>
            <w:tcW w:w="2254" w:type="dxa"/>
            <w:vAlign w:val="center"/>
          </w:tcPr>
          <w:p w14:paraId="66753B3C" w14:textId="4DE1BDA9" w:rsidR="0057601B" w:rsidRPr="00794B16" w:rsidRDefault="002442A9" w:rsidP="00AF45D4">
            <w:pPr>
              <w:pStyle w:val="ListParagraph"/>
              <w:ind w:left="0"/>
              <w:rPr>
                <w:rFonts w:ascii="Arial" w:hAnsi="Arial" w:cs="Arial"/>
                <w:b/>
                <w:bCs/>
                <w:sz w:val="24"/>
                <w:szCs w:val="24"/>
              </w:rPr>
            </w:pPr>
            <w:r w:rsidRPr="00794B16">
              <w:rPr>
                <w:rFonts w:ascii="Arial" w:hAnsi="Arial" w:cs="Arial"/>
                <w:b/>
                <w:bCs/>
                <w:sz w:val="24"/>
                <w:szCs w:val="24"/>
              </w:rPr>
              <w:t>Solid and liquid heavy fuel oil combustion appliances</w:t>
            </w:r>
            <w:r w:rsidRPr="00794B16">
              <w:rPr>
                <w:rFonts w:ascii="Arial" w:hAnsi="Arial" w:cs="Arial"/>
                <w:b/>
                <w:bCs/>
                <w:sz w:val="24"/>
                <w:szCs w:val="24"/>
                <w:vertAlign w:val="superscript"/>
              </w:rPr>
              <w:t>5</w:t>
            </w:r>
          </w:p>
        </w:tc>
      </w:tr>
      <w:tr w:rsidR="00B206E2" w:rsidRPr="00794B16" w14:paraId="391421D4" w14:textId="77777777" w:rsidTr="00DA2785">
        <w:trPr>
          <w:cantSplit/>
          <w:trHeight w:val="397"/>
          <w:jc w:val="center"/>
        </w:trPr>
        <w:tc>
          <w:tcPr>
            <w:tcW w:w="2254" w:type="dxa"/>
            <w:vAlign w:val="center"/>
          </w:tcPr>
          <w:p w14:paraId="3453847B" w14:textId="443EEB2F" w:rsidR="00B206E2" w:rsidRPr="00794B16" w:rsidRDefault="00B206E2" w:rsidP="00B206E2">
            <w:pPr>
              <w:pStyle w:val="ListParagraph"/>
              <w:ind w:left="0"/>
              <w:rPr>
                <w:rFonts w:ascii="Arial" w:hAnsi="Arial" w:cs="Arial"/>
                <w:sz w:val="24"/>
                <w:szCs w:val="24"/>
              </w:rPr>
            </w:pPr>
            <w:r w:rsidRPr="00794B16">
              <w:rPr>
                <w:rFonts w:ascii="Arial" w:hAnsi="Arial" w:cs="Arial"/>
                <w:sz w:val="24"/>
                <w:szCs w:val="24"/>
              </w:rPr>
              <w:t>&lt;1</w:t>
            </w:r>
          </w:p>
        </w:tc>
        <w:tc>
          <w:tcPr>
            <w:tcW w:w="2254" w:type="dxa"/>
            <w:vAlign w:val="center"/>
          </w:tcPr>
          <w:p w14:paraId="030E3CC0" w14:textId="247EE3C1" w:rsidR="00B206E2" w:rsidRPr="00794B16" w:rsidRDefault="00B206E2" w:rsidP="00B206E2">
            <w:pPr>
              <w:pStyle w:val="ListParagraph"/>
              <w:ind w:left="0"/>
              <w:rPr>
                <w:rFonts w:ascii="Arial" w:hAnsi="Arial" w:cs="Arial"/>
                <w:sz w:val="24"/>
                <w:szCs w:val="24"/>
              </w:rPr>
            </w:pPr>
            <w:r w:rsidRPr="00794B16">
              <w:rPr>
                <w:rFonts w:ascii="Arial" w:hAnsi="Arial" w:cs="Arial"/>
                <w:sz w:val="24"/>
                <w:szCs w:val="24"/>
              </w:rPr>
              <w:t>500 m</w:t>
            </w:r>
          </w:p>
        </w:tc>
        <w:tc>
          <w:tcPr>
            <w:tcW w:w="2254" w:type="dxa"/>
            <w:vAlign w:val="center"/>
          </w:tcPr>
          <w:p w14:paraId="543D51F6" w14:textId="2521217F" w:rsidR="00B206E2" w:rsidRPr="00794B16" w:rsidRDefault="00B206E2" w:rsidP="00B206E2">
            <w:pPr>
              <w:pStyle w:val="ListParagraph"/>
              <w:ind w:left="0"/>
              <w:rPr>
                <w:rFonts w:ascii="Arial" w:hAnsi="Arial" w:cs="Arial"/>
                <w:sz w:val="24"/>
                <w:szCs w:val="24"/>
              </w:rPr>
            </w:pPr>
            <w:r w:rsidRPr="00794B16">
              <w:rPr>
                <w:rFonts w:ascii="Arial" w:hAnsi="Arial" w:cs="Arial"/>
                <w:sz w:val="24"/>
                <w:szCs w:val="24"/>
              </w:rPr>
              <w:t>750 m</w:t>
            </w:r>
          </w:p>
        </w:tc>
        <w:tc>
          <w:tcPr>
            <w:tcW w:w="2254" w:type="dxa"/>
            <w:vAlign w:val="center"/>
          </w:tcPr>
          <w:p w14:paraId="4F7E3DC2" w14:textId="114BA3CC" w:rsidR="00B206E2" w:rsidRPr="00794B16" w:rsidRDefault="008E4238" w:rsidP="00B206E2">
            <w:pPr>
              <w:pStyle w:val="ListParagraph"/>
              <w:ind w:left="0"/>
              <w:rPr>
                <w:rFonts w:ascii="Arial" w:hAnsi="Arial" w:cs="Arial"/>
                <w:sz w:val="24"/>
                <w:szCs w:val="24"/>
              </w:rPr>
            </w:pPr>
            <w:r w:rsidRPr="00794B16">
              <w:rPr>
                <w:rFonts w:ascii="Arial" w:hAnsi="Arial" w:cs="Arial"/>
                <w:sz w:val="24"/>
                <w:szCs w:val="24"/>
              </w:rPr>
              <w:t>1.5 km</w:t>
            </w:r>
          </w:p>
        </w:tc>
      </w:tr>
      <w:tr w:rsidR="0048388A" w:rsidRPr="00794B16" w14:paraId="3D5ED25E" w14:textId="77777777" w:rsidTr="00DA2785">
        <w:trPr>
          <w:cantSplit/>
          <w:trHeight w:val="397"/>
          <w:jc w:val="center"/>
        </w:trPr>
        <w:tc>
          <w:tcPr>
            <w:tcW w:w="2254" w:type="dxa"/>
            <w:vAlign w:val="center"/>
          </w:tcPr>
          <w:p w14:paraId="5462A080" w14:textId="2519F333" w:rsidR="0048388A" w:rsidRPr="00794B16" w:rsidRDefault="0048388A" w:rsidP="0048388A">
            <w:pPr>
              <w:pStyle w:val="ListParagraph"/>
              <w:ind w:left="0"/>
              <w:rPr>
                <w:rFonts w:ascii="Arial" w:hAnsi="Arial" w:cs="Arial"/>
                <w:sz w:val="24"/>
                <w:szCs w:val="24"/>
              </w:rPr>
            </w:pPr>
            <w:r w:rsidRPr="00794B16">
              <w:rPr>
                <w:rFonts w:ascii="Arial" w:hAnsi="Arial" w:cs="Arial"/>
                <w:sz w:val="24"/>
                <w:szCs w:val="24"/>
              </w:rPr>
              <w:t>1 - 2</w:t>
            </w:r>
          </w:p>
        </w:tc>
        <w:tc>
          <w:tcPr>
            <w:tcW w:w="2254" w:type="dxa"/>
            <w:vAlign w:val="center"/>
          </w:tcPr>
          <w:p w14:paraId="66B42A36" w14:textId="1099AF11" w:rsidR="0048388A" w:rsidRPr="00794B16" w:rsidRDefault="0048388A" w:rsidP="0048388A">
            <w:pPr>
              <w:pStyle w:val="ListParagraph"/>
              <w:ind w:left="0"/>
              <w:rPr>
                <w:rFonts w:ascii="Arial" w:hAnsi="Arial" w:cs="Arial"/>
                <w:sz w:val="24"/>
                <w:szCs w:val="24"/>
              </w:rPr>
            </w:pPr>
            <w:r w:rsidRPr="00794B16">
              <w:rPr>
                <w:rFonts w:ascii="Arial" w:hAnsi="Arial" w:cs="Arial"/>
                <w:sz w:val="24"/>
                <w:szCs w:val="24"/>
              </w:rPr>
              <w:t>750 m</w:t>
            </w:r>
          </w:p>
        </w:tc>
        <w:tc>
          <w:tcPr>
            <w:tcW w:w="2254" w:type="dxa"/>
            <w:vAlign w:val="center"/>
          </w:tcPr>
          <w:p w14:paraId="28C4400C" w14:textId="11869A2D" w:rsidR="0048388A" w:rsidRPr="00794B16" w:rsidRDefault="0048388A" w:rsidP="0048388A">
            <w:pPr>
              <w:pStyle w:val="ListParagraph"/>
              <w:ind w:left="0"/>
              <w:rPr>
                <w:rFonts w:ascii="Arial" w:hAnsi="Arial" w:cs="Arial"/>
                <w:sz w:val="24"/>
                <w:szCs w:val="24"/>
              </w:rPr>
            </w:pPr>
            <w:r w:rsidRPr="00794B16">
              <w:rPr>
                <w:rFonts w:ascii="Arial" w:hAnsi="Arial" w:cs="Arial"/>
                <w:sz w:val="24"/>
                <w:szCs w:val="24"/>
              </w:rPr>
              <w:t>1 km</w:t>
            </w:r>
          </w:p>
        </w:tc>
        <w:tc>
          <w:tcPr>
            <w:tcW w:w="2254" w:type="dxa"/>
            <w:vAlign w:val="center"/>
          </w:tcPr>
          <w:p w14:paraId="0BD9CB74" w14:textId="683CF3C3" w:rsidR="0048388A" w:rsidRPr="00794B16" w:rsidRDefault="0048388A" w:rsidP="0048388A">
            <w:pPr>
              <w:pStyle w:val="ListParagraph"/>
              <w:ind w:left="0"/>
              <w:rPr>
                <w:rFonts w:ascii="Arial" w:hAnsi="Arial" w:cs="Arial"/>
                <w:sz w:val="24"/>
                <w:szCs w:val="24"/>
              </w:rPr>
            </w:pPr>
            <w:r w:rsidRPr="00794B16">
              <w:rPr>
                <w:rFonts w:ascii="Arial" w:hAnsi="Arial" w:cs="Arial"/>
                <w:sz w:val="24"/>
                <w:szCs w:val="24"/>
              </w:rPr>
              <w:t>2 km</w:t>
            </w:r>
          </w:p>
        </w:tc>
      </w:tr>
      <w:tr w:rsidR="0048388A" w:rsidRPr="00794B16" w14:paraId="65F965F9" w14:textId="77777777" w:rsidTr="00DA2785">
        <w:trPr>
          <w:cantSplit/>
          <w:trHeight w:val="397"/>
          <w:jc w:val="center"/>
        </w:trPr>
        <w:tc>
          <w:tcPr>
            <w:tcW w:w="2254" w:type="dxa"/>
            <w:vAlign w:val="center"/>
          </w:tcPr>
          <w:p w14:paraId="79B946F2" w14:textId="44123DC9" w:rsidR="0048388A" w:rsidRPr="00794B16" w:rsidRDefault="0048388A" w:rsidP="0048388A">
            <w:pPr>
              <w:pStyle w:val="ListParagraph"/>
              <w:ind w:left="0"/>
              <w:rPr>
                <w:rFonts w:ascii="Arial" w:hAnsi="Arial" w:cs="Arial"/>
                <w:sz w:val="24"/>
                <w:szCs w:val="24"/>
              </w:rPr>
            </w:pPr>
            <w:r w:rsidRPr="00794B16">
              <w:rPr>
                <w:rFonts w:ascii="Arial" w:hAnsi="Arial" w:cs="Arial"/>
                <w:sz w:val="24"/>
                <w:szCs w:val="24"/>
              </w:rPr>
              <w:t>2 – 5</w:t>
            </w:r>
          </w:p>
        </w:tc>
        <w:tc>
          <w:tcPr>
            <w:tcW w:w="2254" w:type="dxa"/>
            <w:vAlign w:val="center"/>
          </w:tcPr>
          <w:p w14:paraId="53E3BA35" w14:textId="2FACADCE" w:rsidR="0048388A" w:rsidRPr="00794B16" w:rsidRDefault="0048388A" w:rsidP="0048388A">
            <w:pPr>
              <w:pStyle w:val="ListParagraph"/>
              <w:ind w:left="0"/>
              <w:rPr>
                <w:rFonts w:ascii="Arial" w:hAnsi="Arial" w:cs="Arial"/>
                <w:sz w:val="24"/>
                <w:szCs w:val="24"/>
              </w:rPr>
            </w:pPr>
            <w:r w:rsidRPr="00794B16">
              <w:rPr>
                <w:rFonts w:ascii="Arial" w:hAnsi="Arial" w:cs="Arial"/>
                <w:sz w:val="24"/>
                <w:szCs w:val="24"/>
              </w:rPr>
              <w:t>1 km</w:t>
            </w:r>
          </w:p>
        </w:tc>
        <w:tc>
          <w:tcPr>
            <w:tcW w:w="2254" w:type="dxa"/>
            <w:vAlign w:val="center"/>
          </w:tcPr>
          <w:p w14:paraId="626B6CAD" w14:textId="60123CE7" w:rsidR="0048388A" w:rsidRPr="00794B16" w:rsidRDefault="0048388A" w:rsidP="0048388A">
            <w:pPr>
              <w:pStyle w:val="ListParagraph"/>
              <w:ind w:left="0"/>
              <w:rPr>
                <w:rFonts w:ascii="Arial" w:hAnsi="Arial" w:cs="Arial"/>
                <w:sz w:val="24"/>
                <w:szCs w:val="24"/>
              </w:rPr>
            </w:pPr>
            <w:r w:rsidRPr="00794B16">
              <w:rPr>
                <w:rFonts w:ascii="Arial" w:hAnsi="Arial" w:cs="Arial"/>
                <w:sz w:val="24"/>
                <w:szCs w:val="24"/>
              </w:rPr>
              <w:t>1.5 km</w:t>
            </w:r>
          </w:p>
        </w:tc>
        <w:tc>
          <w:tcPr>
            <w:tcW w:w="2254" w:type="dxa"/>
            <w:vAlign w:val="center"/>
          </w:tcPr>
          <w:p w14:paraId="4E35187E" w14:textId="75CF70ED" w:rsidR="0048388A" w:rsidRPr="00794B16" w:rsidRDefault="0048388A" w:rsidP="0048388A">
            <w:pPr>
              <w:pStyle w:val="ListParagraph"/>
              <w:ind w:left="0"/>
              <w:rPr>
                <w:rFonts w:ascii="Arial" w:hAnsi="Arial" w:cs="Arial"/>
                <w:sz w:val="24"/>
                <w:szCs w:val="24"/>
              </w:rPr>
            </w:pPr>
            <w:r w:rsidRPr="00794B16">
              <w:rPr>
                <w:rFonts w:ascii="Arial" w:hAnsi="Arial" w:cs="Arial"/>
                <w:sz w:val="24"/>
                <w:szCs w:val="24"/>
              </w:rPr>
              <w:t>4 km</w:t>
            </w:r>
          </w:p>
        </w:tc>
      </w:tr>
      <w:tr w:rsidR="00EE04A9" w:rsidRPr="00794B16" w14:paraId="6F3B781E" w14:textId="77777777" w:rsidTr="00DA2785">
        <w:trPr>
          <w:cantSplit/>
          <w:trHeight w:val="397"/>
          <w:jc w:val="center"/>
        </w:trPr>
        <w:tc>
          <w:tcPr>
            <w:tcW w:w="2254" w:type="dxa"/>
            <w:vAlign w:val="center"/>
          </w:tcPr>
          <w:p w14:paraId="2BC9F73F" w14:textId="62FE224A" w:rsidR="00EE04A9" w:rsidRPr="00794B16" w:rsidRDefault="00EE04A9" w:rsidP="00EE04A9">
            <w:pPr>
              <w:pStyle w:val="ListParagraph"/>
              <w:ind w:left="0"/>
              <w:rPr>
                <w:rFonts w:ascii="Arial" w:hAnsi="Arial" w:cs="Arial"/>
                <w:sz w:val="24"/>
                <w:szCs w:val="24"/>
              </w:rPr>
            </w:pPr>
            <w:r w:rsidRPr="00794B16">
              <w:rPr>
                <w:rFonts w:ascii="Arial" w:hAnsi="Arial" w:cs="Arial"/>
                <w:sz w:val="24"/>
                <w:szCs w:val="24"/>
              </w:rPr>
              <w:t>5 – 10</w:t>
            </w:r>
          </w:p>
        </w:tc>
        <w:tc>
          <w:tcPr>
            <w:tcW w:w="2254" w:type="dxa"/>
            <w:vAlign w:val="center"/>
          </w:tcPr>
          <w:p w14:paraId="7E1EF40A" w14:textId="700AE08A" w:rsidR="00EE04A9" w:rsidRPr="00794B16" w:rsidRDefault="00EE04A9" w:rsidP="00EE04A9">
            <w:pPr>
              <w:pStyle w:val="ListParagraph"/>
              <w:ind w:left="0"/>
              <w:rPr>
                <w:rFonts w:ascii="Arial" w:hAnsi="Arial" w:cs="Arial"/>
                <w:sz w:val="24"/>
                <w:szCs w:val="24"/>
              </w:rPr>
            </w:pPr>
            <w:r w:rsidRPr="00794B16">
              <w:rPr>
                <w:rFonts w:ascii="Arial" w:hAnsi="Arial" w:cs="Arial"/>
                <w:sz w:val="24"/>
                <w:szCs w:val="24"/>
              </w:rPr>
              <w:t>1</w:t>
            </w:r>
            <w:r w:rsidR="007B680B" w:rsidRPr="00794B16">
              <w:rPr>
                <w:rFonts w:ascii="Arial" w:hAnsi="Arial" w:cs="Arial"/>
                <w:sz w:val="24"/>
                <w:szCs w:val="24"/>
              </w:rPr>
              <w:t>.5</w:t>
            </w:r>
            <w:r w:rsidRPr="00794B16">
              <w:rPr>
                <w:rFonts w:ascii="Arial" w:hAnsi="Arial" w:cs="Arial"/>
                <w:sz w:val="24"/>
                <w:szCs w:val="24"/>
              </w:rPr>
              <w:t xml:space="preserve"> km</w:t>
            </w:r>
          </w:p>
        </w:tc>
        <w:tc>
          <w:tcPr>
            <w:tcW w:w="2254" w:type="dxa"/>
            <w:vAlign w:val="center"/>
          </w:tcPr>
          <w:p w14:paraId="048520C4" w14:textId="27FBE1FC" w:rsidR="00EE04A9" w:rsidRPr="00794B16" w:rsidRDefault="00EE04A9" w:rsidP="00EE04A9">
            <w:pPr>
              <w:pStyle w:val="ListParagraph"/>
              <w:ind w:left="0"/>
              <w:rPr>
                <w:rFonts w:ascii="Arial" w:hAnsi="Arial" w:cs="Arial"/>
                <w:sz w:val="24"/>
                <w:szCs w:val="24"/>
              </w:rPr>
            </w:pPr>
            <w:r w:rsidRPr="00794B16">
              <w:rPr>
                <w:rFonts w:ascii="Arial" w:hAnsi="Arial" w:cs="Arial"/>
                <w:sz w:val="24"/>
                <w:szCs w:val="24"/>
              </w:rPr>
              <w:t>4 km</w:t>
            </w:r>
          </w:p>
        </w:tc>
        <w:tc>
          <w:tcPr>
            <w:tcW w:w="2254" w:type="dxa"/>
            <w:vAlign w:val="center"/>
          </w:tcPr>
          <w:p w14:paraId="0246BFDF" w14:textId="647204A2" w:rsidR="00EE04A9" w:rsidRPr="00794B16" w:rsidRDefault="00EE04A9" w:rsidP="00EE04A9">
            <w:pPr>
              <w:pStyle w:val="ListParagraph"/>
              <w:ind w:left="0"/>
              <w:rPr>
                <w:rFonts w:ascii="Arial" w:hAnsi="Arial" w:cs="Arial"/>
                <w:sz w:val="24"/>
                <w:szCs w:val="24"/>
              </w:rPr>
            </w:pPr>
            <w:r w:rsidRPr="00794B16">
              <w:rPr>
                <w:rFonts w:ascii="Arial" w:hAnsi="Arial" w:cs="Arial"/>
                <w:sz w:val="24"/>
                <w:szCs w:val="24"/>
              </w:rPr>
              <w:t>8 km</w:t>
            </w:r>
          </w:p>
        </w:tc>
      </w:tr>
      <w:tr w:rsidR="00EE04A9" w:rsidRPr="00794B16" w14:paraId="651624BF" w14:textId="77777777" w:rsidTr="00DA2785">
        <w:trPr>
          <w:cantSplit/>
          <w:trHeight w:val="397"/>
          <w:jc w:val="center"/>
        </w:trPr>
        <w:tc>
          <w:tcPr>
            <w:tcW w:w="2254" w:type="dxa"/>
            <w:vAlign w:val="center"/>
          </w:tcPr>
          <w:p w14:paraId="577C1A40" w14:textId="3A80432C" w:rsidR="00EE04A9" w:rsidRPr="00794B16" w:rsidRDefault="00EE04A9" w:rsidP="00EE04A9">
            <w:pPr>
              <w:pStyle w:val="ListParagraph"/>
              <w:ind w:left="0"/>
              <w:rPr>
                <w:rFonts w:ascii="Arial" w:hAnsi="Arial" w:cs="Arial"/>
                <w:sz w:val="24"/>
                <w:szCs w:val="24"/>
              </w:rPr>
            </w:pPr>
            <w:r w:rsidRPr="00794B16">
              <w:rPr>
                <w:rFonts w:ascii="Arial" w:hAnsi="Arial" w:cs="Arial"/>
                <w:sz w:val="24"/>
                <w:szCs w:val="24"/>
              </w:rPr>
              <w:t>10 – 20</w:t>
            </w:r>
          </w:p>
        </w:tc>
        <w:tc>
          <w:tcPr>
            <w:tcW w:w="2254" w:type="dxa"/>
            <w:vAlign w:val="center"/>
          </w:tcPr>
          <w:p w14:paraId="4F07E3B0" w14:textId="1641C8EC" w:rsidR="00EE04A9" w:rsidRPr="00794B16" w:rsidRDefault="007B680B" w:rsidP="00EE04A9">
            <w:pPr>
              <w:pStyle w:val="ListParagraph"/>
              <w:ind w:left="0"/>
              <w:rPr>
                <w:rFonts w:ascii="Arial" w:hAnsi="Arial" w:cs="Arial"/>
                <w:sz w:val="24"/>
                <w:szCs w:val="24"/>
              </w:rPr>
            </w:pPr>
            <w:r w:rsidRPr="00794B16">
              <w:rPr>
                <w:rFonts w:ascii="Arial" w:hAnsi="Arial" w:cs="Arial"/>
                <w:sz w:val="24"/>
                <w:szCs w:val="24"/>
              </w:rPr>
              <w:t>2</w:t>
            </w:r>
            <w:r w:rsidR="00EE04A9" w:rsidRPr="00794B16">
              <w:rPr>
                <w:rFonts w:ascii="Arial" w:hAnsi="Arial" w:cs="Arial"/>
                <w:sz w:val="24"/>
                <w:szCs w:val="24"/>
              </w:rPr>
              <w:t>.5 km</w:t>
            </w:r>
          </w:p>
        </w:tc>
        <w:tc>
          <w:tcPr>
            <w:tcW w:w="2254" w:type="dxa"/>
            <w:vAlign w:val="center"/>
          </w:tcPr>
          <w:p w14:paraId="7CB6B9FD" w14:textId="147EA2FB" w:rsidR="00EE04A9" w:rsidRPr="00794B16" w:rsidRDefault="00EE04A9" w:rsidP="00EE04A9">
            <w:pPr>
              <w:pStyle w:val="ListParagraph"/>
              <w:ind w:left="0"/>
              <w:rPr>
                <w:rFonts w:ascii="Arial" w:hAnsi="Arial" w:cs="Arial"/>
                <w:sz w:val="24"/>
                <w:szCs w:val="24"/>
              </w:rPr>
            </w:pPr>
            <w:r w:rsidRPr="00794B16">
              <w:rPr>
                <w:rFonts w:ascii="Arial" w:hAnsi="Arial" w:cs="Arial"/>
                <w:sz w:val="24"/>
                <w:szCs w:val="24"/>
              </w:rPr>
              <w:t>5 km</w:t>
            </w:r>
          </w:p>
        </w:tc>
        <w:tc>
          <w:tcPr>
            <w:tcW w:w="2254" w:type="dxa"/>
            <w:vAlign w:val="center"/>
          </w:tcPr>
          <w:p w14:paraId="090A2410" w14:textId="4F0254BE" w:rsidR="00EE04A9" w:rsidRPr="00794B16" w:rsidRDefault="00EE04A9" w:rsidP="00EE04A9">
            <w:pPr>
              <w:pStyle w:val="ListParagraph"/>
              <w:ind w:left="0"/>
              <w:rPr>
                <w:rFonts w:ascii="Arial" w:hAnsi="Arial" w:cs="Arial"/>
                <w:sz w:val="24"/>
                <w:szCs w:val="24"/>
              </w:rPr>
            </w:pPr>
            <w:r w:rsidRPr="00794B16">
              <w:rPr>
                <w:rFonts w:ascii="Arial" w:hAnsi="Arial" w:cs="Arial"/>
                <w:sz w:val="24"/>
                <w:szCs w:val="24"/>
              </w:rPr>
              <w:t>10 km</w:t>
            </w:r>
          </w:p>
        </w:tc>
      </w:tr>
      <w:tr w:rsidR="00EE04A9" w:rsidRPr="00794B16" w14:paraId="10E86F42" w14:textId="77777777" w:rsidTr="00DA2785">
        <w:trPr>
          <w:cantSplit/>
          <w:trHeight w:val="397"/>
          <w:jc w:val="center"/>
        </w:trPr>
        <w:tc>
          <w:tcPr>
            <w:tcW w:w="2254" w:type="dxa"/>
            <w:vAlign w:val="center"/>
          </w:tcPr>
          <w:p w14:paraId="1D8C904D" w14:textId="7658A3EC" w:rsidR="00EE04A9" w:rsidRPr="00794B16" w:rsidRDefault="00EE04A9" w:rsidP="00EE04A9">
            <w:pPr>
              <w:pStyle w:val="ListParagraph"/>
              <w:ind w:left="0"/>
              <w:rPr>
                <w:rFonts w:ascii="Arial" w:hAnsi="Arial" w:cs="Arial"/>
                <w:sz w:val="24"/>
                <w:szCs w:val="24"/>
              </w:rPr>
            </w:pPr>
            <w:r w:rsidRPr="00794B16">
              <w:rPr>
                <w:rFonts w:ascii="Arial" w:hAnsi="Arial" w:cs="Arial"/>
                <w:sz w:val="24"/>
                <w:szCs w:val="24"/>
              </w:rPr>
              <w:t>20 - 50</w:t>
            </w:r>
          </w:p>
        </w:tc>
        <w:tc>
          <w:tcPr>
            <w:tcW w:w="2254" w:type="dxa"/>
            <w:vAlign w:val="center"/>
          </w:tcPr>
          <w:p w14:paraId="34889671" w14:textId="217780A5" w:rsidR="00EE04A9" w:rsidRPr="00794B16" w:rsidRDefault="00EE04A9" w:rsidP="00EE04A9">
            <w:pPr>
              <w:pStyle w:val="ListParagraph"/>
              <w:ind w:left="0"/>
              <w:rPr>
                <w:rFonts w:ascii="Arial" w:hAnsi="Arial" w:cs="Arial"/>
                <w:sz w:val="24"/>
                <w:szCs w:val="24"/>
              </w:rPr>
            </w:pPr>
            <w:r w:rsidRPr="00794B16">
              <w:rPr>
                <w:rFonts w:ascii="Arial" w:hAnsi="Arial" w:cs="Arial"/>
                <w:sz w:val="24"/>
                <w:szCs w:val="24"/>
              </w:rPr>
              <w:t>5 km</w:t>
            </w:r>
          </w:p>
        </w:tc>
        <w:tc>
          <w:tcPr>
            <w:tcW w:w="2254" w:type="dxa"/>
            <w:vAlign w:val="center"/>
          </w:tcPr>
          <w:p w14:paraId="770036ED" w14:textId="0ADFDDE0" w:rsidR="00EE04A9" w:rsidRPr="00794B16" w:rsidRDefault="00EE04A9" w:rsidP="00EE04A9">
            <w:pPr>
              <w:pStyle w:val="ListParagraph"/>
              <w:ind w:left="0"/>
              <w:rPr>
                <w:rFonts w:ascii="Arial" w:hAnsi="Arial" w:cs="Arial"/>
                <w:sz w:val="24"/>
                <w:szCs w:val="24"/>
              </w:rPr>
            </w:pPr>
            <w:r w:rsidRPr="00794B16">
              <w:rPr>
                <w:rFonts w:ascii="Arial" w:hAnsi="Arial" w:cs="Arial"/>
                <w:sz w:val="24"/>
                <w:szCs w:val="24"/>
              </w:rPr>
              <w:t>10 km</w:t>
            </w:r>
          </w:p>
        </w:tc>
        <w:tc>
          <w:tcPr>
            <w:tcW w:w="2254" w:type="dxa"/>
            <w:vAlign w:val="center"/>
          </w:tcPr>
          <w:p w14:paraId="5E48260B" w14:textId="7167C818" w:rsidR="00EE04A9" w:rsidRPr="00794B16" w:rsidRDefault="00EE04A9" w:rsidP="00EE04A9">
            <w:pPr>
              <w:pStyle w:val="ListParagraph"/>
              <w:ind w:left="0"/>
              <w:rPr>
                <w:rFonts w:ascii="Arial" w:hAnsi="Arial" w:cs="Arial"/>
                <w:sz w:val="24"/>
                <w:szCs w:val="24"/>
              </w:rPr>
            </w:pPr>
            <w:r w:rsidRPr="00794B16">
              <w:rPr>
                <w:rFonts w:ascii="Arial" w:hAnsi="Arial" w:cs="Arial"/>
                <w:sz w:val="24"/>
                <w:szCs w:val="24"/>
              </w:rPr>
              <w:t>13 km</w:t>
            </w:r>
          </w:p>
        </w:tc>
      </w:tr>
      <w:tr w:rsidR="004718BE" w:rsidRPr="00794B16" w14:paraId="7D377C22" w14:textId="77777777" w:rsidTr="00DA2785">
        <w:trPr>
          <w:cantSplit/>
          <w:trHeight w:val="397"/>
          <w:jc w:val="center"/>
        </w:trPr>
        <w:tc>
          <w:tcPr>
            <w:tcW w:w="2254" w:type="dxa"/>
            <w:vAlign w:val="center"/>
          </w:tcPr>
          <w:p w14:paraId="4000E2BC" w14:textId="0FEA6B47" w:rsidR="004718BE" w:rsidRPr="00794B16" w:rsidRDefault="004718BE" w:rsidP="004718BE">
            <w:pPr>
              <w:pStyle w:val="ListParagraph"/>
              <w:ind w:left="0"/>
              <w:rPr>
                <w:rFonts w:ascii="Arial" w:hAnsi="Arial" w:cs="Arial"/>
                <w:sz w:val="24"/>
                <w:szCs w:val="24"/>
              </w:rPr>
            </w:pPr>
            <w:r w:rsidRPr="00794B16">
              <w:rPr>
                <w:rFonts w:ascii="Arial" w:hAnsi="Arial" w:cs="Arial"/>
                <w:sz w:val="24"/>
                <w:szCs w:val="24"/>
              </w:rPr>
              <w:t>50 - 100</w:t>
            </w:r>
          </w:p>
        </w:tc>
        <w:tc>
          <w:tcPr>
            <w:tcW w:w="2254" w:type="dxa"/>
            <w:vAlign w:val="center"/>
          </w:tcPr>
          <w:p w14:paraId="7D072321" w14:textId="21B231D6" w:rsidR="004718BE" w:rsidRPr="00794B16" w:rsidRDefault="004718BE" w:rsidP="004718BE">
            <w:pPr>
              <w:pStyle w:val="ListParagraph"/>
              <w:ind w:left="0"/>
              <w:rPr>
                <w:rFonts w:ascii="Arial" w:hAnsi="Arial" w:cs="Arial"/>
                <w:sz w:val="24"/>
                <w:szCs w:val="24"/>
              </w:rPr>
            </w:pPr>
            <w:r w:rsidRPr="00794B16">
              <w:rPr>
                <w:rFonts w:ascii="Arial" w:hAnsi="Arial" w:cs="Arial"/>
                <w:sz w:val="24"/>
                <w:szCs w:val="24"/>
              </w:rPr>
              <w:t>7 km</w:t>
            </w:r>
          </w:p>
        </w:tc>
        <w:tc>
          <w:tcPr>
            <w:tcW w:w="2254" w:type="dxa"/>
            <w:vAlign w:val="center"/>
          </w:tcPr>
          <w:p w14:paraId="15DBAB37" w14:textId="7610083E" w:rsidR="004718BE" w:rsidRPr="00794B16" w:rsidRDefault="004718BE" w:rsidP="004718BE">
            <w:pPr>
              <w:pStyle w:val="ListParagraph"/>
              <w:ind w:left="0"/>
              <w:rPr>
                <w:rFonts w:ascii="Arial" w:hAnsi="Arial" w:cs="Arial"/>
                <w:sz w:val="24"/>
                <w:szCs w:val="24"/>
              </w:rPr>
            </w:pPr>
            <w:r w:rsidRPr="00794B16">
              <w:rPr>
                <w:rFonts w:ascii="Arial" w:hAnsi="Arial" w:cs="Arial"/>
                <w:sz w:val="24"/>
                <w:szCs w:val="24"/>
              </w:rPr>
              <w:t>1</w:t>
            </w:r>
            <w:r w:rsidR="00EE04A9" w:rsidRPr="00794B16">
              <w:rPr>
                <w:rFonts w:ascii="Arial" w:hAnsi="Arial" w:cs="Arial"/>
                <w:sz w:val="24"/>
                <w:szCs w:val="24"/>
              </w:rPr>
              <w:t>2</w:t>
            </w:r>
            <w:r w:rsidRPr="00794B16">
              <w:rPr>
                <w:rFonts w:ascii="Arial" w:hAnsi="Arial" w:cs="Arial"/>
                <w:sz w:val="24"/>
                <w:szCs w:val="24"/>
              </w:rPr>
              <w:t xml:space="preserve"> km</w:t>
            </w:r>
          </w:p>
        </w:tc>
        <w:tc>
          <w:tcPr>
            <w:tcW w:w="2254" w:type="dxa"/>
            <w:vAlign w:val="center"/>
          </w:tcPr>
          <w:p w14:paraId="27442B22" w14:textId="1BD911DF" w:rsidR="004718BE" w:rsidRPr="00794B16" w:rsidRDefault="004718BE" w:rsidP="004718BE">
            <w:pPr>
              <w:pStyle w:val="ListParagraph"/>
              <w:ind w:left="0"/>
              <w:rPr>
                <w:rFonts w:ascii="Arial" w:hAnsi="Arial" w:cs="Arial"/>
                <w:sz w:val="24"/>
                <w:szCs w:val="24"/>
              </w:rPr>
            </w:pPr>
            <w:r w:rsidRPr="00794B16">
              <w:rPr>
                <w:rFonts w:ascii="Arial" w:hAnsi="Arial" w:cs="Arial"/>
                <w:sz w:val="24"/>
                <w:szCs w:val="24"/>
              </w:rPr>
              <w:t>15 km</w:t>
            </w:r>
          </w:p>
        </w:tc>
      </w:tr>
      <w:tr w:rsidR="004718BE" w:rsidRPr="00794B16" w14:paraId="43C83ADC" w14:textId="77777777" w:rsidTr="00DA2785">
        <w:trPr>
          <w:cantSplit/>
          <w:trHeight w:val="397"/>
          <w:jc w:val="center"/>
        </w:trPr>
        <w:tc>
          <w:tcPr>
            <w:tcW w:w="2254" w:type="dxa"/>
            <w:vAlign w:val="center"/>
          </w:tcPr>
          <w:p w14:paraId="54A21AD0" w14:textId="0600C2FA" w:rsidR="004718BE" w:rsidRPr="00794B16" w:rsidRDefault="004718BE" w:rsidP="004718BE">
            <w:pPr>
              <w:pStyle w:val="ListParagraph"/>
              <w:ind w:left="0"/>
              <w:rPr>
                <w:rFonts w:ascii="Arial" w:hAnsi="Arial" w:cs="Arial"/>
                <w:sz w:val="24"/>
                <w:szCs w:val="24"/>
              </w:rPr>
            </w:pPr>
            <w:r w:rsidRPr="00794B16">
              <w:rPr>
                <w:rFonts w:ascii="Arial" w:hAnsi="Arial" w:cs="Arial"/>
                <w:sz w:val="24"/>
                <w:szCs w:val="24"/>
              </w:rPr>
              <w:t>100 - 500</w:t>
            </w:r>
          </w:p>
        </w:tc>
        <w:tc>
          <w:tcPr>
            <w:tcW w:w="2254" w:type="dxa"/>
            <w:vAlign w:val="center"/>
          </w:tcPr>
          <w:p w14:paraId="69EB7E25" w14:textId="35EACF22" w:rsidR="004718BE" w:rsidRPr="00794B16" w:rsidRDefault="004718BE" w:rsidP="004718BE">
            <w:pPr>
              <w:pStyle w:val="ListParagraph"/>
              <w:ind w:left="0"/>
              <w:rPr>
                <w:rFonts w:ascii="Arial" w:hAnsi="Arial" w:cs="Arial"/>
                <w:sz w:val="24"/>
                <w:szCs w:val="24"/>
              </w:rPr>
            </w:pPr>
            <w:r w:rsidRPr="00794B16">
              <w:rPr>
                <w:rFonts w:ascii="Arial" w:hAnsi="Arial" w:cs="Arial"/>
                <w:sz w:val="24"/>
                <w:szCs w:val="24"/>
              </w:rPr>
              <w:t>10 km</w:t>
            </w:r>
          </w:p>
        </w:tc>
        <w:tc>
          <w:tcPr>
            <w:tcW w:w="2254" w:type="dxa"/>
            <w:vAlign w:val="center"/>
          </w:tcPr>
          <w:p w14:paraId="0A533074" w14:textId="2ACFDBD1" w:rsidR="004718BE" w:rsidRPr="00794B16" w:rsidRDefault="004718BE" w:rsidP="004718BE">
            <w:pPr>
              <w:pStyle w:val="ListParagraph"/>
              <w:ind w:left="0"/>
              <w:rPr>
                <w:rFonts w:ascii="Arial" w:hAnsi="Arial" w:cs="Arial"/>
                <w:sz w:val="24"/>
                <w:szCs w:val="24"/>
              </w:rPr>
            </w:pPr>
            <w:r w:rsidRPr="00794B16">
              <w:rPr>
                <w:rFonts w:ascii="Arial" w:hAnsi="Arial" w:cs="Arial"/>
                <w:sz w:val="24"/>
                <w:szCs w:val="24"/>
              </w:rPr>
              <w:t>15 km</w:t>
            </w:r>
          </w:p>
        </w:tc>
        <w:tc>
          <w:tcPr>
            <w:tcW w:w="2254" w:type="dxa"/>
            <w:vAlign w:val="center"/>
          </w:tcPr>
          <w:p w14:paraId="347691E8" w14:textId="2346D574" w:rsidR="004718BE" w:rsidRPr="00794B16" w:rsidRDefault="004718BE" w:rsidP="004718BE">
            <w:pPr>
              <w:pStyle w:val="ListParagraph"/>
              <w:ind w:left="0"/>
              <w:rPr>
                <w:rFonts w:ascii="Arial" w:hAnsi="Arial" w:cs="Arial"/>
                <w:sz w:val="24"/>
                <w:szCs w:val="24"/>
              </w:rPr>
            </w:pPr>
            <w:r w:rsidRPr="00794B16">
              <w:rPr>
                <w:rFonts w:ascii="Arial" w:hAnsi="Arial" w:cs="Arial"/>
                <w:sz w:val="24"/>
                <w:szCs w:val="24"/>
              </w:rPr>
              <w:t>15 km</w:t>
            </w:r>
          </w:p>
        </w:tc>
      </w:tr>
      <w:tr w:rsidR="004718BE" w:rsidRPr="00794B16" w14:paraId="44578E02" w14:textId="77777777" w:rsidTr="00DA2785">
        <w:trPr>
          <w:cantSplit/>
          <w:trHeight w:val="397"/>
          <w:jc w:val="center"/>
        </w:trPr>
        <w:tc>
          <w:tcPr>
            <w:tcW w:w="2254" w:type="dxa"/>
            <w:vAlign w:val="center"/>
          </w:tcPr>
          <w:p w14:paraId="7386F1FF" w14:textId="7F879154" w:rsidR="004718BE" w:rsidRPr="00794B16" w:rsidRDefault="004718BE" w:rsidP="004718BE">
            <w:pPr>
              <w:pStyle w:val="ListParagraph"/>
              <w:ind w:left="0"/>
              <w:rPr>
                <w:rFonts w:ascii="Arial" w:hAnsi="Arial" w:cs="Arial"/>
                <w:sz w:val="24"/>
                <w:szCs w:val="24"/>
              </w:rPr>
            </w:pPr>
            <w:r w:rsidRPr="00794B16">
              <w:rPr>
                <w:rFonts w:ascii="Arial" w:hAnsi="Arial" w:cs="Arial"/>
                <w:sz w:val="24"/>
                <w:szCs w:val="24"/>
              </w:rPr>
              <w:t>500 – 1,000</w:t>
            </w:r>
          </w:p>
        </w:tc>
        <w:tc>
          <w:tcPr>
            <w:tcW w:w="2254" w:type="dxa"/>
            <w:vAlign w:val="center"/>
          </w:tcPr>
          <w:p w14:paraId="1AFEA8F1" w14:textId="48D3F265" w:rsidR="004718BE" w:rsidRPr="00794B16" w:rsidRDefault="004718BE" w:rsidP="004718BE">
            <w:pPr>
              <w:pStyle w:val="ListParagraph"/>
              <w:ind w:left="0"/>
              <w:rPr>
                <w:rFonts w:ascii="Arial" w:hAnsi="Arial" w:cs="Arial"/>
                <w:sz w:val="24"/>
                <w:szCs w:val="24"/>
              </w:rPr>
            </w:pPr>
            <w:r w:rsidRPr="00794B16">
              <w:rPr>
                <w:rFonts w:ascii="Arial" w:hAnsi="Arial" w:cs="Arial"/>
                <w:sz w:val="24"/>
                <w:szCs w:val="24"/>
              </w:rPr>
              <w:t>15 km</w:t>
            </w:r>
          </w:p>
        </w:tc>
        <w:tc>
          <w:tcPr>
            <w:tcW w:w="2254" w:type="dxa"/>
            <w:vAlign w:val="center"/>
          </w:tcPr>
          <w:p w14:paraId="36A3EF35" w14:textId="7B916FE1" w:rsidR="004718BE" w:rsidRPr="00794B16" w:rsidRDefault="004718BE" w:rsidP="004718BE">
            <w:pPr>
              <w:pStyle w:val="ListParagraph"/>
              <w:ind w:left="0"/>
              <w:rPr>
                <w:rFonts w:ascii="Arial" w:hAnsi="Arial" w:cs="Arial"/>
                <w:sz w:val="24"/>
                <w:szCs w:val="24"/>
              </w:rPr>
            </w:pPr>
            <w:r w:rsidRPr="00794B16">
              <w:rPr>
                <w:rFonts w:ascii="Arial" w:hAnsi="Arial" w:cs="Arial"/>
                <w:sz w:val="24"/>
                <w:szCs w:val="24"/>
              </w:rPr>
              <w:t>15 km</w:t>
            </w:r>
          </w:p>
        </w:tc>
        <w:tc>
          <w:tcPr>
            <w:tcW w:w="2254" w:type="dxa"/>
            <w:vAlign w:val="center"/>
          </w:tcPr>
          <w:p w14:paraId="4A1C8CEF" w14:textId="56281065" w:rsidR="004718BE" w:rsidRPr="00794B16" w:rsidRDefault="004718BE" w:rsidP="004718BE">
            <w:pPr>
              <w:pStyle w:val="ListParagraph"/>
              <w:ind w:left="0"/>
              <w:rPr>
                <w:rFonts w:ascii="Arial" w:hAnsi="Arial" w:cs="Arial"/>
                <w:sz w:val="24"/>
                <w:szCs w:val="24"/>
              </w:rPr>
            </w:pPr>
            <w:r w:rsidRPr="00794B16">
              <w:rPr>
                <w:rFonts w:ascii="Arial" w:hAnsi="Arial" w:cs="Arial"/>
                <w:sz w:val="24"/>
                <w:szCs w:val="24"/>
              </w:rPr>
              <w:t>15 km</w:t>
            </w:r>
          </w:p>
        </w:tc>
      </w:tr>
    </w:tbl>
    <w:p w14:paraId="4DA8BB5A" w14:textId="77777777" w:rsidR="00DA2785" w:rsidRDefault="00DA2785" w:rsidP="00AF45D4">
      <w:pPr>
        <w:pStyle w:val="ListParagraph"/>
        <w:ind w:left="0"/>
        <w:rPr>
          <w:rFonts w:ascii="Arial" w:hAnsi="Arial" w:cs="Arial"/>
          <w:b/>
          <w:bCs/>
        </w:rPr>
      </w:pPr>
    </w:p>
    <w:p w14:paraId="6001CF42" w14:textId="77777777" w:rsidR="00DA2785" w:rsidRDefault="00DA2785" w:rsidP="00AF45D4">
      <w:pPr>
        <w:pStyle w:val="ListParagraph"/>
        <w:ind w:left="0"/>
        <w:rPr>
          <w:rFonts w:ascii="Arial" w:hAnsi="Arial" w:cs="Arial"/>
          <w:b/>
          <w:bCs/>
        </w:rPr>
      </w:pPr>
    </w:p>
    <w:p w14:paraId="7C0F337F" w14:textId="652F3B46" w:rsidR="00AF45D4" w:rsidRPr="00794B16" w:rsidRDefault="00AF45D4" w:rsidP="00AF45D4">
      <w:pPr>
        <w:pStyle w:val="ListParagraph"/>
        <w:ind w:left="0"/>
        <w:rPr>
          <w:rFonts w:ascii="Arial" w:hAnsi="Arial" w:cs="Arial"/>
          <w:b/>
          <w:bCs/>
          <w:sz w:val="24"/>
          <w:szCs w:val="24"/>
        </w:rPr>
      </w:pPr>
      <w:r w:rsidRPr="00794B16">
        <w:rPr>
          <w:rFonts w:ascii="Arial" w:hAnsi="Arial" w:cs="Arial"/>
          <w:b/>
          <w:bCs/>
          <w:sz w:val="24"/>
          <w:szCs w:val="24"/>
        </w:rPr>
        <w:t>Table 2. Local nature site screening distance criteria for installations with combustion processes.</w:t>
      </w:r>
    </w:p>
    <w:p w14:paraId="12D0EE2D" w14:textId="77777777" w:rsidR="00804A63" w:rsidRPr="00794B16" w:rsidRDefault="00804A63" w:rsidP="00AF45D4">
      <w:pPr>
        <w:pStyle w:val="ListParagraph"/>
        <w:ind w:left="0"/>
        <w:rPr>
          <w:rFonts w:ascii="Arial" w:hAnsi="Arial" w:cs="Arial"/>
          <w:b/>
          <w:bCs/>
          <w:sz w:val="24"/>
          <w:szCs w:val="24"/>
        </w:rPr>
      </w:pPr>
    </w:p>
    <w:tbl>
      <w:tblPr>
        <w:tblStyle w:val="TableGrid"/>
        <w:tblW w:w="0" w:type="auto"/>
        <w:jc w:val="center"/>
        <w:tblLook w:val="04A0" w:firstRow="1" w:lastRow="0" w:firstColumn="1" w:lastColumn="0" w:noHBand="0" w:noVBand="1"/>
        <w:tblCaption w:val="Local nature site screening distance criteria for installations with combustion processes."/>
      </w:tblPr>
      <w:tblGrid>
        <w:gridCol w:w="2254"/>
        <w:gridCol w:w="3128"/>
        <w:gridCol w:w="3402"/>
      </w:tblGrid>
      <w:tr w:rsidR="003E0A15" w:rsidRPr="00794B16" w14:paraId="0A6E41EE" w14:textId="77777777" w:rsidTr="00DA2785">
        <w:trPr>
          <w:cantSplit/>
          <w:trHeight w:val="624"/>
          <w:tblHeader/>
          <w:jc w:val="center"/>
        </w:trPr>
        <w:tc>
          <w:tcPr>
            <w:tcW w:w="2254" w:type="dxa"/>
            <w:vMerge w:val="restart"/>
            <w:vAlign w:val="center"/>
          </w:tcPr>
          <w:p w14:paraId="5D994451" w14:textId="77777777" w:rsidR="003E0A15" w:rsidRPr="00794B16" w:rsidRDefault="003E0A15" w:rsidP="00731FE8">
            <w:pPr>
              <w:pStyle w:val="ListParagraph"/>
              <w:ind w:left="0"/>
              <w:rPr>
                <w:rFonts w:ascii="Arial" w:hAnsi="Arial" w:cs="Arial"/>
                <w:b/>
                <w:bCs/>
                <w:sz w:val="24"/>
                <w:szCs w:val="24"/>
              </w:rPr>
            </w:pPr>
            <w:r w:rsidRPr="00794B16">
              <w:rPr>
                <w:rFonts w:ascii="Arial" w:hAnsi="Arial" w:cs="Arial"/>
                <w:b/>
                <w:bCs/>
                <w:sz w:val="24"/>
                <w:szCs w:val="24"/>
              </w:rPr>
              <w:t>Combined rated thermal input (</w:t>
            </w:r>
            <w:proofErr w:type="spellStart"/>
            <w:r w:rsidRPr="00794B16">
              <w:rPr>
                <w:rFonts w:ascii="Arial" w:hAnsi="Arial" w:cs="Arial"/>
                <w:b/>
                <w:bCs/>
                <w:sz w:val="24"/>
                <w:szCs w:val="24"/>
              </w:rPr>
              <w:t>MWth</w:t>
            </w:r>
            <w:proofErr w:type="spellEnd"/>
            <w:r w:rsidRPr="00794B16">
              <w:rPr>
                <w:rFonts w:ascii="Arial" w:hAnsi="Arial" w:cs="Arial"/>
                <w:b/>
                <w:bCs/>
                <w:sz w:val="24"/>
                <w:szCs w:val="24"/>
              </w:rPr>
              <w:t>)</w:t>
            </w:r>
            <w:r w:rsidRPr="00794B16">
              <w:rPr>
                <w:rFonts w:ascii="Arial" w:hAnsi="Arial" w:cs="Arial"/>
                <w:b/>
                <w:bCs/>
                <w:sz w:val="24"/>
                <w:szCs w:val="24"/>
                <w:vertAlign w:val="superscript"/>
              </w:rPr>
              <w:t>1</w:t>
            </w:r>
          </w:p>
        </w:tc>
        <w:tc>
          <w:tcPr>
            <w:tcW w:w="6530" w:type="dxa"/>
            <w:gridSpan w:val="2"/>
            <w:vAlign w:val="center"/>
          </w:tcPr>
          <w:p w14:paraId="43B27A66" w14:textId="373CA790" w:rsidR="003E0A15" w:rsidRPr="00794B16" w:rsidRDefault="003E0A15" w:rsidP="00731FE8">
            <w:pPr>
              <w:pStyle w:val="ListParagraph"/>
              <w:ind w:left="0"/>
              <w:rPr>
                <w:rFonts w:ascii="Arial" w:hAnsi="Arial" w:cs="Arial"/>
                <w:b/>
                <w:bCs/>
                <w:sz w:val="24"/>
                <w:szCs w:val="24"/>
              </w:rPr>
            </w:pPr>
            <w:r w:rsidRPr="00794B16">
              <w:rPr>
                <w:rFonts w:ascii="Arial" w:hAnsi="Arial" w:cs="Arial"/>
                <w:b/>
                <w:bCs/>
                <w:sz w:val="24"/>
                <w:szCs w:val="24"/>
              </w:rPr>
              <w:t>Distance to site local nature site (Local Nature Reserve, Local Wildlife Site, or Ancient Woodland)</w:t>
            </w:r>
          </w:p>
        </w:tc>
      </w:tr>
      <w:tr w:rsidR="003E0A15" w:rsidRPr="00794B16" w14:paraId="5D5BA7F3" w14:textId="77777777" w:rsidTr="00DA2785">
        <w:trPr>
          <w:cantSplit/>
          <w:trHeight w:val="397"/>
          <w:jc w:val="center"/>
        </w:trPr>
        <w:tc>
          <w:tcPr>
            <w:tcW w:w="2254" w:type="dxa"/>
            <w:vMerge/>
            <w:vAlign w:val="center"/>
          </w:tcPr>
          <w:p w14:paraId="42E3F3E5" w14:textId="77777777" w:rsidR="003E0A15" w:rsidRPr="00794B16" w:rsidRDefault="003E0A15" w:rsidP="00731FE8">
            <w:pPr>
              <w:pStyle w:val="ListParagraph"/>
              <w:ind w:left="0"/>
              <w:rPr>
                <w:rFonts w:ascii="Arial" w:hAnsi="Arial" w:cs="Arial"/>
                <w:b/>
                <w:bCs/>
                <w:sz w:val="24"/>
                <w:szCs w:val="24"/>
              </w:rPr>
            </w:pPr>
          </w:p>
        </w:tc>
        <w:tc>
          <w:tcPr>
            <w:tcW w:w="3128" w:type="dxa"/>
            <w:vAlign w:val="center"/>
          </w:tcPr>
          <w:p w14:paraId="3E106704" w14:textId="0394ADF2" w:rsidR="003E0A15" w:rsidRPr="00794B16" w:rsidRDefault="00736623" w:rsidP="00731FE8">
            <w:pPr>
              <w:pStyle w:val="ListParagraph"/>
              <w:ind w:left="0"/>
              <w:rPr>
                <w:rFonts w:ascii="Arial" w:hAnsi="Arial" w:cs="Arial"/>
                <w:b/>
                <w:bCs/>
                <w:sz w:val="24"/>
                <w:szCs w:val="24"/>
              </w:rPr>
            </w:pPr>
            <w:r w:rsidRPr="00794B16">
              <w:rPr>
                <w:rFonts w:ascii="Arial" w:hAnsi="Arial" w:cs="Arial"/>
                <w:b/>
                <w:bCs/>
                <w:sz w:val="24"/>
                <w:szCs w:val="24"/>
              </w:rPr>
              <w:t>Non-sulphurous fuel</w:t>
            </w:r>
            <w:r w:rsidRPr="00794B16">
              <w:rPr>
                <w:rFonts w:ascii="Arial" w:hAnsi="Arial" w:cs="Arial"/>
                <w:b/>
                <w:bCs/>
                <w:sz w:val="24"/>
                <w:szCs w:val="24"/>
                <w:vertAlign w:val="superscript"/>
              </w:rPr>
              <w:t>2</w:t>
            </w:r>
          </w:p>
        </w:tc>
        <w:tc>
          <w:tcPr>
            <w:tcW w:w="3402" w:type="dxa"/>
            <w:vAlign w:val="center"/>
          </w:tcPr>
          <w:p w14:paraId="164CE198" w14:textId="6218D69D" w:rsidR="003E0A15" w:rsidRPr="00794B16" w:rsidRDefault="00736623" w:rsidP="00731FE8">
            <w:pPr>
              <w:pStyle w:val="ListParagraph"/>
              <w:ind w:left="0"/>
              <w:rPr>
                <w:rFonts w:ascii="Arial" w:hAnsi="Arial" w:cs="Arial"/>
                <w:b/>
                <w:bCs/>
                <w:sz w:val="24"/>
                <w:szCs w:val="24"/>
              </w:rPr>
            </w:pPr>
            <w:r w:rsidRPr="00794B16">
              <w:rPr>
                <w:rFonts w:ascii="Arial" w:hAnsi="Arial" w:cs="Arial"/>
                <w:b/>
                <w:bCs/>
                <w:sz w:val="24"/>
                <w:szCs w:val="24"/>
              </w:rPr>
              <w:t>S</w:t>
            </w:r>
            <w:r w:rsidR="003E0A15" w:rsidRPr="00794B16">
              <w:rPr>
                <w:rFonts w:ascii="Arial" w:hAnsi="Arial" w:cs="Arial"/>
                <w:b/>
                <w:bCs/>
                <w:sz w:val="24"/>
                <w:szCs w:val="24"/>
              </w:rPr>
              <w:t>ulphurous fuel</w:t>
            </w:r>
            <w:r w:rsidR="003E0A15" w:rsidRPr="00794B16">
              <w:rPr>
                <w:rFonts w:ascii="Arial" w:hAnsi="Arial" w:cs="Arial"/>
                <w:b/>
                <w:bCs/>
                <w:sz w:val="24"/>
                <w:szCs w:val="24"/>
                <w:vertAlign w:val="superscript"/>
              </w:rPr>
              <w:t>2</w:t>
            </w:r>
          </w:p>
        </w:tc>
      </w:tr>
      <w:tr w:rsidR="003E0A15" w:rsidRPr="00794B16" w14:paraId="7609472C" w14:textId="77777777" w:rsidTr="00DA2785">
        <w:trPr>
          <w:cantSplit/>
          <w:trHeight w:val="1134"/>
          <w:jc w:val="center"/>
        </w:trPr>
        <w:tc>
          <w:tcPr>
            <w:tcW w:w="2254" w:type="dxa"/>
            <w:vMerge/>
            <w:vAlign w:val="center"/>
          </w:tcPr>
          <w:p w14:paraId="2046F3FD" w14:textId="77777777" w:rsidR="003E0A15" w:rsidRPr="00794B16" w:rsidRDefault="003E0A15" w:rsidP="00731FE8">
            <w:pPr>
              <w:pStyle w:val="ListParagraph"/>
              <w:ind w:left="0"/>
              <w:rPr>
                <w:rFonts w:ascii="Arial" w:hAnsi="Arial" w:cs="Arial"/>
                <w:b/>
                <w:bCs/>
                <w:sz w:val="24"/>
                <w:szCs w:val="24"/>
              </w:rPr>
            </w:pPr>
          </w:p>
        </w:tc>
        <w:tc>
          <w:tcPr>
            <w:tcW w:w="3128" w:type="dxa"/>
            <w:vAlign w:val="center"/>
          </w:tcPr>
          <w:p w14:paraId="5D0AFB2A" w14:textId="4B5B15B8" w:rsidR="003E0A15" w:rsidRPr="00794B16" w:rsidRDefault="003E0A15" w:rsidP="00731FE8">
            <w:pPr>
              <w:pStyle w:val="ListParagraph"/>
              <w:ind w:left="0"/>
              <w:rPr>
                <w:rFonts w:ascii="Arial" w:hAnsi="Arial" w:cs="Arial"/>
                <w:b/>
                <w:bCs/>
                <w:sz w:val="24"/>
                <w:szCs w:val="24"/>
              </w:rPr>
            </w:pPr>
            <w:r w:rsidRPr="00794B16">
              <w:rPr>
                <w:rFonts w:ascii="Arial" w:hAnsi="Arial" w:cs="Arial"/>
                <w:b/>
                <w:bCs/>
                <w:sz w:val="24"/>
                <w:szCs w:val="24"/>
              </w:rPr>
              <w:t xml:space="preserve">Natural </w:t>
            </w:r>
            <w:r w:rsidR="00A8391D" w:rsidRPr="00794B16">
              <w:rPr>
                <w:rFonts w:ascii="Arial" w:hAnsi="Arial" w:cs="Arial"/>
                <w:b/>
                <w:bCs/>
                <w:sz w:val="24"/>
                <w:szCs w:val="24"/>
              </w:rPr>
              <w:t>G</w:t>
            </w:r>
            <w:r w:rsidRPr="00794B16">
              <w:rPr>
                <w:rFonts w:ascii="Arial" w:hAnsi="Arial" w:cs="Arial"/>
                <w:b/>
                <w:bCs/>
                <w:sz w:val="24"/>
                <w:szCs w:val="24"/>
              </w:rPr>
              <w:t>as (NG) and gas oil combustion appliances</w:t>
            </w:r>
            <w:r w:rsidRPr="00794B16">
              <w:rPr>
                <w:rFonts w:ascii="Arial" w:hAnsi="Arial" w:cs="Arial"/>
                <w:b/>
                <w:bCs/>
                <w:sz w:val="24"/>
                <w:szCs w:val="24"/>
                <w:vertAlign w:val="superscript"/>
              </w:rPr>
              <w:t>3</w:t>
            </w:r>
          </w:p>
        </w:tc>
        <w:tc>
          <w:tcPr>
            <w:tcW w:w="3402" w:type="dxa"/>
            <w:vAlign w:val="center"/>
          </w:tcPr>
          <w:p w14:paraId="09525453" w14:textId="396341DE" w:rsidR="003E0A15" w:rsidRPr="00794B16" w:rsidRDefault="003E0A15" w:rsidP="00731FE8">
            <w:pPr>
              <w:pStyle w:val="ListParagraph"/>
              <w:ind w:left="0"/>
              <w:rPr>
                <w:rFonts w:ascii="Arial" w:hAnsi="Arial" w:cs="Arial"/>
                <w:b/>
                <w:bCs/>
                <w:sz w:val="24"/>
                <w:szCs w:val="24"/>
              </w:rPr>
            </w:pPr>
            <w:r w:rsidRPr="00794B16">
              <w:rPr>
                <w:rFonts w:ascii="Arial" w:hAnsi="Arial" w:cs="Arial"/>
                <w:b/>
                <w:bCs/>
                <w:sz w:val="24"/>
                <w:szCs w:val="24"/>
              </w:rPr>
              <w:t xml:space="preserve">Gas other than NG </w:t>
            </w:r>
            <w:r w:rsidR="003236E6" w:rsidRPr="00794B16">
              <w:rPr>
                <w:rFonts w:ascii="Arial" w:hAnsi="Arial" w:cs="Arial"/>
                <w:b/>
                <w:bCs/>
                <w:sz w:val="24"/>
                <w:szCs w:val="24"/>
              </w:rPr>
              <w:t>and gas oil</w:t>
            </w:r>
            <w:r w:rsidR="00242B59" w:rsidRPr="00794B16">
              <w:rPr>
                <w:rFonts w:ascii="Arial" w:hAnsi="Arial" w:cs="Arial"/>
                <w:b/>
                <w:bCs/>
                <w:sz w:val="24"/>
                <w:szCs w:val="24"/>
                <w:vertAlign w:val="superscript"/>
              </w:rPr>
              <w:t>4</w:t>
            </w:r>
            <w:r w:rsidR="003236E6" w:rsidRPr="00794B16">
              <w:rPr>
                <w:rFonts w:ascii="Arial" w:hAnsi="Arial" w:cs="Arial"/>
                <w:b/>
                <w:bCs/>
                <w:sz w:val="24"/>
                <w:szCs w:val="24"/>
              </w:rPr>
              <w:t xml:space="preserve">, and </w:t>
            </w:r>
            <w:r w:rsidR="005767AC" w:rsidRPr="00794B16">
              <w:rPr>
                <w:rFonts w:ascii="Arial" w:hAnsi="Arial" w:cs="Arial"/>
                <w:b/>
                <w:bCs/>
                <w:sz w:val="24"/>
                <w:szCs w:val="24"/>
              </w:rPr>
              <w:t xml:space="preserve">Solid and liquid heavy fuel oil engine </w:t>
            </w:r>
            <w:r w:rsidRPr="00794B16">
              <w:rPr>
                <w:rFonts w:ascii="Arial" w:hAnsi="Arial" w:cs="Arial"/>
                <w:b/>
                <w:bCs/>
                <w:sz w:val="24"/>
                <w:szCs w:val="24"/>
              </w:rPr>
              <w:t>combustion appliances</w:t>
            </w:r>
            <w:r w:rsidR="00242B59" w:rsidRPr="00794B16">
              <w:rPr>
                <w:rFonts w:ascii="Arial" w:hAnsi="Arial" w:cs="Arial"/>
                <w:b/>
                <w:bCs/>
                <w:sz w:val="24"/>
                <w:szCs w:val="24"/>
                <w:vertAlign w:val="superscript"/>
              </w:rPr>
              <w:t>5</w:t>
            </w:r>
          </w:p>
        </w:tc>
      </w:tr>
      <w:tr w:rsidR="00106F65" w:rsidRPr="00794B16" w14:paraId="77A0216D" w14:textId="77777777" w:rsidTr="00DA2785">
        <w:trPr>
          <w:cantSplit/>
          <w:trHeight w:val="397"/>
          <w:jc w:val="center"/>
        </w:trPr>
        <w:tc>
          <w:tcPr>
            <w:tcW w:w="2254" w:type="dxa"/>
            <w:vAlign w:val="center"/>
          </w:tcPr>
          <w:p w14:paraId="5CFC58B2" w14:textId="77777777" w:rsidR="00106F65" w:rsidRPr="00794B16" w:rsidRDefault="00106F65" w:rsidP="00106F65">
            <w:pPr>
              <w:pStyle w:val="ListParagraph"/>
              <w:ind w:left="0"/>
              <w:rPr>
                <w:rFonts w:ascii="Arial" w:hAnsi="Arial" w:cs="Arial"/>
                <w:sz w:val="24"/>
                <w:szCs w:val="24"/>
              </w:rPr>
            </w:pPr>
            <w:r w:rsidRPr="00794B16">
              <w:rPr>
                <w:rFonts w:ascii="Arial" w:hAnsi="Arial" w:cs="Arial"/>
                <w:sz w:val="24"/>
                <w:szCs w:val="24"/>
              </w:rPr>
              <w:t>&lt;1</w:t>
            </w:r>
          </w:p>
        </w:tc>
        <w:tc>
          <w:tcPr>
            <w:tcW w:w="3128" w:type="dxa"/>
            <w:vAlign w:val="center"/>
          </w:tcPr>
          <w:p w14:paraId="57E38C4A" w14:textId="7E7C9F6A" w:rsidR="00106F65" w:rsidRPr="00794B16" w:rsidRDefault="00106F65" w:rsidP="00106F65">
            <w:pPr>
              <w:pStyle w:val="ListParagraph"/>
              <w:ind w:left="0"/>
              <w:rPr>
                <w:rFonts w:ascii="Arial" w:hAnsi="Arial" w:cs="Arial"/>
                <w:sz w:val="24"/>
                <w:szCs w:val="24"/>
              </w:rPr>
            </w:pPr>
            <w:r w:rsidRPr="00794B16">
              <w:rPr>
                <w:rFonts w:ascii="Arial" w:hAnsi="Arial" w:cs="Arial"/>
                <w:sz w:val="24"/>
                <w:szCs w:val="24"/>
              </w:rPr>
              <w:t>100 m</w:t>
            </w:r>
          </w:p>
        </w:tc>
        <w:tc>
          <w:tcPr>
            <w:tcW w:w="3402" w:type="dxa"/>
            <w:vAlign w:val="center"/>
          </w:tcPr>
          <w:p w14:paraId="4F89D4BD" w14:textId="78E2F3A7" w:rsidR="00106F65" w:rsidRPr="00794B16" w:rsidRDefault="00106F65" w:rsidP="00106F65">
            <w:pPr>
              <w:pStyle w:val="ListParagraph"/>
              <w:ind w:left="0"/>
              <w:rPr>
                <w:rFonts w:ascii="Arial" w:hAnsi="Arial" w:cs="Arial"/>
                <w:sz w:val="24"/>
                <w:szCs w:val="24"/>
              </w:rPr>
            </w:pPr>
            <w:r w:rsidRPr="00794B16">
              <w:rPr>
                <w:rFonts w:ascii="Arial" w:hAnsi="Arial" w:cs="Arial"/>
                <w:sz w:val="24"/>
                <w:szCs w:val="24"/>
              </w:rPr>
              <w:t>200 m</w:t>
            </w:r>
          </w:p>
        </w:tc>
      </w:tr>
      <w:tr w:rsidR="00106F65" w:rsidRPr="00794B16" w14:paraId="46C4A68E" w14:textId="77777777" w:rsidTr="00DA2785">
        <w:trPr>
          <w:cantSplit/>
          <w:trHeight w:val="397"/>
          <w:jc w:val="center"/>
        </w:trPr>
        <w:tc>
          <w:tcPr>
            <w:tcW w:w="2254" w:type="dxa"/>
            <w:vAlign w:val="center"/>
          </w:tcPr>
          <w:p w14:paraId="552F48E9" w14:textId="77777777" w:rsidR="00106F65" w:rsidRPr="00794B16" w:rsidRDefault="00106F65" w:rsidP="00106F65">
            <w:pPr>
              <w:pStyle w:val="ListParagraph"/>
              <w:ind w:left="0"/>
              <w:rPr>
                <w:rFonts w:ascii="Arial" w:hAnsi="Arial" w:cs="Arial"/>
                <w:sz w:val="24"/>
                <w:szCs w:val="24"/>
              </w:rPr>
            </w:pPr>
            <w:r w:rsidRPr="00794B16">
              <w:rPr>
                <w:rFonts w:ascii="Arial" w:hAnsi="Arial" w:cs="Arial"/>
                <w:sz w:val="24"/>
                <w:szCs w:val="24"/>
              </w:rPr>
              <w:t>1 - 2</w:t>
            </w:r>
          </w:p>
        </w:tc>
        <w:tc>
          <w:tcPr>
            <w:tcW w:w="3128" w:type="dxa"/>
            <w:vAlign w:val="center"/>
          </w:tcPr>
          <w:p w14:paraId="120CE54B" w14:textId="732D6110" w:rsidR="00106F65" w:rsidRPr="00794B16" w:rsidRDefault="00106F65" w:rsidP="00106F65">
            <w:pPr>
              <w:pStyle w:val="ListParagraph"/>
              <w:ind w:left="0"/>
              <w:rPr>
                <w:rFonts w:ascii="Arial" w:hAnsi="Arial" w:cs="Arial"/>
                <w:sz w:val="24"/>
                <w:szCs w:val="24"/>
              </w:rPr>
            </w:pPr>
            <w:r w:rsidRPr="00794B16">
              <w:rPr>
                <w:rFonts w:ascii="Arial" w:hAnsi="Arial" w:cs="Arial"/>
                <w:sz w:val="24"/>
                <w:szCs w:val="24"/>
              </w:rPr>
              <w:t>100 m</w:t>
            </w:r>
          </w:p>
        </w:tc>
        <w:tc>
          <w:tcPr>
            <w:tcW w:w="3402" w:type="dxa"/>
            <w:vAlign w:val="center"/>
          </w:tcPr>
          <w:p w14:paraId="13C52F23" w14:textId="624EEC30" w:rsidR="00106F65" w:rsidRPr="00794B16" w:rsidRDefault="00106F65" w:rsidP="00106F65">
            <w:pPr>
              <w:pStyle w:val="ListParagraph"/>
              <w:ind w:left="0"/>
              <w:rPr>
                <w:rFonts w:ascii="Arial" w:hAnsi="Arial" w:cs="Arial"/>
                <w:sz w:val="24"/>
                <w:szCs w:val="24"/>
              </w:rPr>
            </w:pPr>
            <w:r w:rsidRPr="00794B16">
              <w:rPr>
                <w:rFonts w:ascii="Arial" w:hAnsi="Arial" w:cs="Arial"/>
                <w:sz w:val="24"/>
                <w:szCs w:val="24"/>
              </w:rPr>
              <w:t>300 m</w:t>
            </w:r>
          </w:p>
        </w:tc>
      </w:tr>
      <w:tr w:rsidR="00106F65" w:rsidRPr="00794B16" w14:paraId="49B32E01" w14:textId="77777777" w:rsidTr="00DA2785">
        <w:trPr>
          <w:cantSplit/>
          <w:trHeight w:val="397"/>
          <w:jc w:val="center"/>
        </w:trPr>
        <w:tc>
          <w:tcPr>
            <w:tcW w:w="2254" w:type="dxa"/>
            <w:vAlign w:val="center"/>
          </w:tcPr>
          <w:p w14:paraId="01368083" w14:textId="77777777" w:rsidR="00106F65" w:rsidRPr="00794B16" w:rsidRDefault="00106F65" w:rsidP="00106F65">
            <w:pPr>
              <w:pStyle w:val="ListParagraph"/>
              <w:ind w:left="0"/>
              <w:rPr>
                <w:rFonts w:ascii="Arial" w:hAnsi="Arial" w:cs="Arial"/>
                <w:sz w:val="24"/>
                <w:szCs w:val="24"/>
              </w:rPr>
            </w:pPr>
            <w:r w:rsidRPr="00794B16">
              <w:rPr>
                <w:rFonts w:ascii="Arial" w:hAnsi="Arial" w:cs="Arial"/>
                <w:sz w:val="24"/>
                <w:szCs w:val="24"/>
              </w:rPr>
              <w:t>2 – 5</w:t>
            </w:r>
          </w:p>
        </w:tc>
        <w:tc>
          <w:tcPr>
            <w:tcW w:w="3128" w:type="dxa"/>
            <w:vAlign w:val="center"/>
          </w:tcPr>
          <w:p w14:paraId="22ECDCC9" w14:textId="06F942ED" w:rsidR="00106F65" w:rsidRPr="00794B16" w:rsidRDefault="00106F65" w:rsidP="00106F65">
            <w:pPr>
              <w:pStyle w:val="ListParagraph"/>
              <w:ind w:left="0"/>
              <w:rPr>
                <w:rFonts w:ascii="Arial" w:hAnsi="Arial" w:cs="Arial"/>
                <w:sz w:val="24"/>
                <w:szCs w:val="24"/>
              </w:rPr>
            </w:pPr>
            <w:r w:rsidRPr="00794B16">
              <w:rPr>
                <w:rFonts w:ascii="Arial" w:hAnsi="Arial" w:cs="Arial"/>
                <w:sz w:val="24"/>
                <w:szCs w:val="24"/>
              </w:rPr>
              <w:t>100 m</w:t>
            </w:r>
          </w:p>
        </w:tc>
        <w:tc>
          <w:tcPr>
            <w:tcW w:w="3402" w:type="dxa"/>
            <w:vAlign w:val="center"/>
          </w:tcPr>
          <w:p w14:paraId="73DED186" w14:textId="747991D9" w:rsidR="00106F65" w:rsidRPr="00794B16" w:rsidRDefault="00106F65" w:rsidP="00106F65">
            <w:pPr>
              <w:pStyle w:val="ListParagraph"/>
              <w:ind w:left="0"/>
              <w:rPr>
                <w:rFonts w:ascii="Arial" w:hAnsi="Arial" w:cs="Arial"/>
                <w:sz w:val="24"/>
                <w:szCs w:val="24"/>
              </w:rPr>
            </w:pPr>
            <w:r w:rsidRPr="00794B16">
              <w:rPr>
                <w:rFonts w:ascii="Arial" w:hAnsi="Arial" w:cs="Arial"/>
                <w:sz w:val="24"/>
                <w:szCs w:val="24"/>
              </w:rPr>
              <w:t>400 m</w:t>
            </w:r>
          </w:p>
        </w:tc>
      </w:tr>
      <w:tr w:rsidR="00106F65" w:rsidRPr="00794B16" w14:paraId="0777545A" w14:textId="77777777" w:rsidTr="00DA2785">
        <w:trPr>
          <w:cantSplit/>
          <w:trHeight w:val="397"/>
          <w:jc w:val="center"/>
        </w:trPr>
        <w:tc>
          <w:tcPr>
            <w:tcW w:w="2254" w:type="dxa"/>
            <w:vAlign w:val="center"/>
          </w:tcPr>
          <w:p w14:paraId="79F8ADBB" w14:textId="77777777" w:rsidR="00106F65" w:rsidRPr="00794B16" w:rsidRDefault="00106F65" w:rsidP="00106F65">
            <w:pPr>
              <w:pStyle w:val="ListParagraph"/>
              <w:ind w:left="0"/>
              <w:rPr>
                <w:rFonts w:ascii="Arial" w:hAnsi="Arial" w:cs="Arial"/>
                <w:sz w:val="24"/>
                <w:szCs w:val="24"/>
              </w:rPr>
            </w:pPr>
            <w:r w:rsidRPr="00794B16">
              <w:rPr>
                <w:rFonts w:ascii="Arial" w:hAnsi="Arial" w:cs="Arial"/>
                <w:sz w:val="24"/>
                <w:szCs w:val="24"/>
              </w:rPr>
              <w:t>5 – 10</w:t>
            </w:r>
          </w:p>
        </w:tc>
        <w:tc>
          <w:tcPr>
            <w:tcW w:w="3128" w:type="dxa"/>
            <w:vAlign w:val="center"/>
          </w:tcPr>
          <w:p w14:paraId="542DE92D" w14:textId="609BCD72" w:rsidR="00106F65" w:rsidRPr="00794B16" w:rsidRDefault="00106F65" w:rsidP="00106F65">
            <w:pPr>
              <w:pStyle w:val="ListParagraph"/>
              <w:ind w:left="0"/>
              <w:rPr>
                <w:rFonts w:ascii="Arial" w:hAnsi="Arial" w:cs="Arial"/>
                <w:sz w:val="24"/>
                <w:szCs w:val="24"/>
              </w:rPr>
            </w:pPr>
            <w:r w:rsidRPr="00794B16">
              <w:rPr>
                <w:rFonts w:ascii="Arial" w:hAnsi="Arial" w:cs="Arial"/>
                <w:sz w:val="24"/>
                <w:szCs w:val="24"/>
              </w:rPr>
              <w:t>100 m</w:t>
            </w:r>
          </w:p>
        </w:tc>
        <w:tc>
          <w:tcPr>
            <w:tcW w:w="3402" w:type="dxa"/>
            <w:vAlign w:val="center"/>
          </w:tcPr>
          <w:p w14:paraId="00574223" w14:textId="1DF7FF0D" w:rsidR="00106F65" w:rsidRPr="00794B16" w:rsidRDefault="00106F65" w:rsidP="00106F65">
            <w:pPr>
              <w:pStyle w:val="ListParagraph"/>
              <w:ind w:left="0"/>
              <w:rPr>
                <w:rFonts w:ascii="Arial" w:hAnsi="Arial" w:cs="Arial"/>
                <w:sz w:val="24"/>
                <w:szCs w:val="24"/>
              </w:rPr>
            </w:pPr>
            <w:r w:rsidRPr="00794B16">
              <w:rPr>
                <w:rFonts w:ascii="Arial" w:hAnsi="Arial" w:cs="Arial"/>
                <w:sz w:val="24"/>
                <w:szCs w:val="24"/>
              </w:rPr>
              <w:t>500 m</w:t>
            </w:r>
          </w:p>
        </w:tc>
      </w:tr>
      <w:tr w:rsidR="00106F65" w:rsidRPr="00794B16" w14:paraId="67A61E1D" w14:textId="77777777" w:rsidTr="00DA2785">
        <w:trPr>
          <w:cantSplit/>
          <w:trHeight w:val="397"/>
          <w:jc w:val="center"/>
        </w:trPr>
        <w:tc>
          <w:tcPr>
            <w:tcW w:w="2254" w:type="dxa"/>
            <w:vAlign w:val="center"/>
          </w:tcPr>
          <w:p w14:paraId="07EBA94F" w14:textId="77777777" w:rsidR="00106F65" w:rsidRPr="00794B16" w:rsidRDefault="00106F65" w:rsidP="00106F65">
            <w:pPr>
              <w:pStyle w:val="ListParagraph"/>
              <w:ind w:left="0"/>
              <w:rPr>
                <w:rFonts w:ascii="Arial" w:hAnsi="Arial" w:cs="Arial"/>
                <w:sz w:val="24"/>
                <w:szCs w:val="24"/>
              </w:rPr>
            </w:pPr>
            <w:r w:rsidRPr="00794B16">
              <w:rPr>
                <w:rFonts w:ascii="Arial" w:hAnsi="Arial" w:cs="Arial"/>
                <w:sz w:val="24"/>
                <w:szCs w:val="24"/>
              </w:rPr>
              <w:t>10 – 20</w:t>
            </w:r>
          </w:p>
        </w:tc>
        <w:tc>
          <w:tcPr>
            <w:tcW w:w="3128" w:type="dxa"/>
            <w:vAlign w:val="center"/>
          </w:tcPr>
          <w:p w14:paraId="76CB0068" w14:textId="3AC12FEA" w:rsidR="00106F65" w:rsidRPr="00794B16" w:rsidRDefault="00106F65" w:rsidP="00106F65">
            <w:pPr>
              <w:pStyle w:val="ListParagraph"/>
              <w:ind w:left="0"/>
              <w:rPr>
                <w:rFonts w:ascii="Arial" w:hAnsi="Arial" w:cs="Arial"/>
                <w:sz w:val="24"/>
                <w:szCs w:val="24"/>
              </w:rPr>
            </w:pPr>
            <w:r w:rsidRPr="00794B16">
              <w:rPr>
                <w:rFonts w:ascii="Arial" w:hAnsi="Arial" w:cs="Arial"/>
                <w:sz w:val="24"/>
                <w:szCs w:val="24"/>
              </w:rPr>
              <w:t>100 m</w:t>
            </w:r>
          </w:p>
        </w:tc>
        <w:tc>
          <w:tcPr>
            <w:tcW w:w="3402" w:type="dxa"/>
            <w:vAlign w:val="center"/>
          </w:tcPr>
          <w:p w14:paraId="64DB8546" w14:textId="7F9CD1D0" w:rsidR="00106F65" w:rsidRPr="00794B16" w:rsidRDefault="00106F65" w:rsidP="00106F65">
            <w:pPr>
              <w:pStyle w:val="ListParagraph"/>
              <w:ind w:left="0"/>
              <w:rPr>
                <w:rFonts w:ascii="Arial" w:hAnsi="Arial" w:cs="Arial"/>
                <w:sz w:val="24"/>
                <w:szCs w:val="24"/>
              </w:rPr>
            </w:pPr>
            <w:r w:rsidRPr="00794B16">
              <w:rPr>
                <w:rFonts w:ascii="Arial" w:hAnsi="Arial" w:cs="Arial"/>
                <w:sz w:val="24"/>
                <w:szCs w:val="24"/>
              </w:rPr>
              <w:t>600 m</w:t>
            </w:r>
          </w:p>
        </w:tc>
      </w:tr>
    </w:tbl>
    <w:p w14:paraId="031654A2" w14:textId="77777777" w:rsidR="00AF45D4" w:rsidRPr="00794B16" w:rsidRDefault="00AF45D4" w:rsidP="00AF45D4">
      <w:pPr>
        <w:pStyle w:val="ListParagraph"/>
        <w:ind w:left="0"/>
        <w:rPr>
          <w:rFonts w:ascii="Arial" w:hAnsi="Arial" w:cs="Arial"/>
          <w:b/>
          <w:bCs/>
          <w:sz w:val="24"/>
          <w:szCs w:val="24"/>
        </w:rPr>
      </w:pPr>
    </w:p>
    <w:p w14:paraId="06982C11" w14:textId="55FD6AFF" w:rsidR="00AF45D4" w:rsidRPr="00794B16" w:rsidRDefault="00AF45D4" w:rsidP="00AF45D4">
      <w:pPr>
        <w:pStyle w:val="ListParagraph"/>
        <w:ind w:left="0"/>
        <w:rPr>
          <w:rFonts w:ascii="Arial" w:hAnsi="Arial" w:cs="Arial"/>
          <w:b/>
          <w:bCs/>
          <w:sz w:val="24"/>
          <w:szCs w:val="24"/>
        </w:rPr>
      </w:pPr>
      <w:r w:rsidRPr="00794B16">
        <w:rPr>
          <w:rFonts w:ascii="Arial" w:hAnsi="Arial" w:cs="Arial"/>
          <w:b/>
          <w:bCs/>
          <w:sz w:val="24"/>
          <w:szCs w:val="24"/>
        </w:rPr>
        <w:t>Notes:</w:t>
      </w:r>
    </w:p>
    <w:p w14:paraId="46709403" w14:textId="514BA68D" w:rsidR="00AF45D4" w:rsidRPr="00794B16" w:rsidRDefault="00AF45D4" w:rsidP="00DA2785">
      <w:pPr>
        <w:pStyle w:val="ListParagraph"/>
        <w:spacing w:line="360" w:lineRule="auto"/>
        <w:ind w:left="0"/>
        <w:rPr>
          <w:rFonts w:ascii="Arial" w:hAnsi="Arial" w:cs="Arial"/>
          <w:sz w:val="24"/>
          <w:szCs w:val="24"/>
        </w:rPr>
      </w:pPr>
      <w:r w:rsidRPr="00794B16">
        <w:rPr>
          <w:rFonts w:ascii="Arial" w:hAnsi="Arial" w:cs="Arial"/>
          <w:sz w:val="24"/>
          <w:szCs w:val="24"/>
          <w:vertAlign w:val="superscript"/>
        </w:rPr>
        <w:lastRenderedPageBreak/>
        <w:t>1</w:t>
      </w:r>
      <w:r w:rsidRPr="00794B16">
        <w:rPr>
          <w:rFonts w:ascii="Arial" w:hAnsi="Arial" w:cs="Arial"/>
          <w:sz w:val="24"/>
          <w:szCs w:val="24"/>
        </w:rPr>
        <w:t xml:space="preserve"> Combined rated thermal input should be used to ensure worst-case impacts are assessed.</w:t>
      </w:r>
    </w:p>
    <w:p w14:paraId="3FA6754F" w14:textId="5CB67585" w:rsidR="00AF45D4" w:rsidRPr="00794B16" w:rsidRDefault="00AF45D4" w:rsidP="00DA2785">
      <w:pPr>
        <w:pStyle w:val="ListParagraph"/>
        <w:spacing w:line="360" w:lineRule="auto"/>
        <w:ind w:left="0"/>
        <w:rPr>
          <w:rFonts w:ascii="Arial" w:hAnsi="Arial" w:cs="Arial"/>
          <w:sz w:val="24"/>
          <w:szCs w:val="24"/>
        </w:rPr>
      </w:pPr>
      <w:r w:rsidRPr="00794B16">
        <w:rPr>
          <w:rFonts w:ascii="Arial" w:hAnsi="Arial" w:cs="Arial"/>
          <w:sz w:val="24"/>
          <w:szCs w:val="24"/>
          <w:vertAlign w:val="superscript"/>
        </w:rPr>
        <w:t>2</w:t>
      </w:r>
      <w:r w:rsidRPr="00794B16">
        <w:rPr>
          <w:rFonts w:ascii="Arial" w:hAnsi="Arial" w:cs="Arial"/>
          <w:sz w:val="24"/>
          <w:szCs w:val="24"/>
        </w:rPr>
        <w:t xml:space="preserve"> Sulphur content of the fuel influences process contributions to acid deposition, and whether SO2 </w:t>
      </w:r>
    </w:p>
    <w:p w14:paraId="0ABC2F8E" w14:textId="437B0666" w:rsidR="00AF45D4" w:rsidRPr="00794B16" w:rsidRDefault="00AF45D4" w:rsidP="00DA2785">
      <w:pPr>
        <w:pStyle w:val="ListParagraph"/>
        <w:spacing w:line="360" w:lineRule="auto"/>
        <w:ind w:left="0"/>
        <w:rPr>
          <w:rFonts w:ascii="Arial" w:hAnsi="Arial" w:cs="Arial"/>
          <w:sz w:val="24"/>
          <w:szCs w:val="24"/>
        </w:rPr>
      </w:pPr>
      <w:r w:rsidRPr="00794B16">
        <w:rPr>
          <w:rFonts w:ascii="Arial" w:hAnsi="Arial" w:cs="Arial"/>
          <w:sz w:val="24"/>
          <w:szCs w:val="24"/>
        </w:rPr>
        <w:t xml:space="preserve">   critical levels apply.</w:t>
      </w:r>
    </w:p>
    <w:p w14:paraId="1490C72F" w14:textId="5232FA09" w:rsidR="00F870E8" w:rsidRPr="00794B16" w:rsidRDefault="00F870E8" w:rsidP="00DA2785">
      <w:pPr>
        <w:pStyle w:val="ListParagraph"/>
        <w:spacing w:line="360" w:lineRule="auto"/>
        <w:ind w:left="0"/>
        <w:rPr>
          <w:rFonts w:ascii="Arial" w:hAnsi="Arial" w:cs="Arial"/>
          <w:sz w:val="24"/>
          <w:szCs w:val="24"/>
        </w:rPr>
      </w:pPr>
      <w:r w:rsidRPr="00794B16">
        <w:rPr>
          <w:rFonts w:ascii="Arial" w:hAnsi="Arial" w:cs="Arial"/>
          <w:sz w:val="24"/>
          <w:szCs w:val="24"/>
          <w:vertAlign w:val="superscript"/>
        </w:rPr>
        <w:t>3</w:t>
      </w:r>
      <w:r w:rsidRPr="00794B16">
        <w:rPr>
          <w:rFonts w:ascii="Arial" w:hAnsi="Arial" w:cs="Arial"/>
          <w:sz w:val="24"/>
          <w:szCs w:val="24"/>
        </w:rPr>
        <w:t xml:space="preserve"> Gas oil includes ultra-low sulphur diesel and low sulphur diesel.</w:t>
      </w:r>
    </w:p>
    <w:p w14:paraId="4CE623F9" w14:textId="6162E424" w:rsidR="00F870E8" w:rsidRPr="00794B16" w:rsidRDefault="00F870E8" w:rsidP="00DA2785">
      <w:pPr>
        <w:pStyle w:val="ListParagraph"/>
        <w:spacing w:line="360" w:lineRule="auto"/>
        <w:ind w:left="0"/>
        <w:rPr>
          <w:rFonts w:ascii="Arial" w:hAnsi="Arial" w:cs="Arial"/>
          <w:sz w:val="24"/>
          <w:szCs w:val="24"/>
        </w:rPr>
      </w:pPr>
      <w:r w:rsidRPr="00794B16">
        <w:rPr>
          <w:rFonts w:ascii="Arial" w:hAnsi="Arial" w:cs="Arial"/>
          <w:sz w:val="24"/>
          <w:szCs w:val="24"/>
          <w:vertAlign w:val="superscript"/>
        </w:rPr>
        <w:t xml:space="preserve">4 </w:t>
      </w:r>
      <w:r w:rsidRPr="00794B16">
        <w:rPr>
          <w:rFonts w:ascii="Arial" w:hAnsi="Arial" w:cs="Arial"/>
          <w:sz w:val="24"/>
          <w:szCs w:val="24"/>
        </w:rPr>
        <w:t>Includes biogas and landfill gas.</w:t>
      </w:r>
    </w:p>
    <w:p w14:paraId="1CF48B6F" w14:textId="17CBB570" w:rsidR="00F870E8" w:rsidRPr="00794B16" w:rsidRDefault="00F870E8" w:rsidP="00DA2785">
      <w:pPr>
        <w:pStyle w:val="ListParagraph"/>
        <w:spacing w:line="360" w:lineRule="auto"/>
        <w:ind w:left="0"/>
        <w:rPr>
          <w:rFonts w:ascii="Arial" w:hAnsi="Arial" w:cs="Arial"/>
          <w:sz w:val="24"/>
          <w:szCs w:val="24"/>
        </w:rPr>
      </w:pPr>
      <w:r w:rsidRPr="00794B16">
        <w:rPr>
          <w:rFonts w:ascii="Arial" w:hAnsi="Arial" w:cs="Arial"/>
          <w:sz w:val="24"/>
          <w:szCs w:val="24"/>
          <w:vertAlign w:val="superscript"/>
        </w:rPr>
        <w:t>5</w:t>
      </w:r>
      <w:r w:rsidRPr="00794B16">
        <w:rPr>
          <w:rFonts w:ascii="Arial" w:hAnsi="Arial" w:cs="Arial"/>
          <w:sz w:val="24"/>
          <w:szCs w:val="24"/>
        </w:rPr>
        <w:t xml:space="preserve"> Includes incinerators.</w:t>
      </w:r>
    </w:p>
    <w:p w14:paraId="7E9977FC" w14:textId="77777777" w:rsidR="00AF45D4" w:rsidRPr="00794B16" w:rsidRDefault="00AF45D4" w:rsidP="00AF45D4">
      <w:pPr>
        <w:pStyle w:val="ListParagraph"/>
        <w:numPr>
          <w:ilvl w:val="0"/>
          <w:numId w:val="9"/>
        </w:numPr>
        <w:rPr>
          <w:rFonts w:ascii="Arial" w:hAnsi="Arial" w:cs="Arial"/>
          <w:vanish/>
          <w:sz w:val="24"/>
          <w:szCs w:val="24"/>
          <w:u w:val="single"/>
        </w:rPr>
      </w:pPr>
    </w:p>
    <w:p w14:paraId="0122664C" w14:textId="77777777" w:rsidR="00AF45D4" w:rsidRPr="00794B16" w:rsidRDefault="00AF45D4" w:rsidP="00AF45D4">
      <w:pPr>
        <w:pStyle w:val="ListParagraph"/>
        <w:numPr>
          <w:ilvl w:val="0"/>
          <w:numId w:val="9"/>
        </w:numPr>
        <w:rPr>
          <w:rFonts w:ascii="Arial" w:hAnsi="Arial" w:cs="Arial"/>
          <w:vanish/>
          <w:sz w:val="24"/>
          <w:szCs w:val="24"/>
          <w:u w:val="single"/>
        </w:rPr>
      </w:pPr>
    </w:p>
    <w:p w14:paraId="66855174" w14:textId="77777777" w:rsidR="00AF45D4" w:rsidRPr="00794B16" w:rsidRDefault="00AF45D4" w:rsidP="00AF45D4">
      <w:pPr>
        <w:pStyle w:val="ListParagraph"/>
        <w:numPr>
          <w:ilvl w:val="0"/>
          <w:numId w:val="9"/>
        </w:numPr>
        <w:rPr>
          <w:rFonts w:ascii="Arial" w:hAnsi="Arial" w:cs="Arial"/>
          <w:vanish/>
          <w:sz w:val="24"/>
          <w:szCs w:val="24"/>
          <w:u w:val="single"/>
        </w:rPr>
      </w:pPr>
    </w:p>
    <w:p w14:paraId="4D791A99" w14:textId="77777777" w:rsidR="00AF45D4" w:rsidRPr="00794B16" w:rsidRDefault="00AF45D4" w:rsidP="00AF45D4">
      <w:pPr>
        <w:pStyle w:val="ListParagraph"/>
        <w:numPr>
          <w:ilvl w:val="0"/>
          <w:numId w:val="9"/>
        </w:numPr>
        <w:rPr>
          <w:rFonts w:ascii="Arial" w:hAnsi="Arial" w:cs="Arial"/>
          <w:vanish/>
          <w:sz w:val="24"/>
          <w:szCs w:val="24"/>
          <w:u w:val="single"/>
        </w:rPr>
      </w:pPr>
    </w:p>
    <w:p w14:paraId="677806B7" w14:textId="77777777" w:rsidR="00AF45D4" w:rsidRPr="00794B16" w:rsidRDefault="00AF45D4" w:rsidP="00AF45D4">
      <w:pPr>
        <w:pStyle w:val="ListParagraph"/>
        <w:numPr>
          <w:ilvl w:val="0"/>
          <w:numId w:val="9"/>
        </w:numPr>
        <w:rPr>
          <w:rFonts w:ascii="Arial" w:hAnsi="Arial" w:cs="Arial"/>
          <w:vanish/>
          <w:sz w:val="24"/>
          <w:szCs w:val="24"/>
          <w:u w:val="single"/>
        </w:rPr>
      </w:pPr>
    </w:p>
    <w:p w14:paraId="4C440059" w14:textId="77777777" w:rsidR="00AF45D4" w:rsidRPr="00794B16" w:rsidRDefault="00AF45D4" w:rsidP="00AF45D4">
      <w:pPr>
        <w:pStyle w:val="ListParagraph"/>
        <w:numPr>
          <w:ilvl w:val="1"/>
          <w:numId w:val="9"/>
        </w:numPr>
        <w:rPr>
          <w:rFonts w:ascii="Arial" w:hAnsi="Arial" w:cs="Arial"/>
          <w:vanish/>
          <w:sz w:val="24"/>
          <w:szCs w:val="24"/>
          <w:u w:val="single"/>
        </w:rPr>
      </w:pPr>
    </w:p>
    <w:p w14:paraId="6F5C8B27" w14:textId="77777777" w:rsidR="00AF45D4" w:rsidRPr="00794B16" w:rsidRDefault="00AF45D4" w:rsidP="00AF45D4">
      <w:pPr>
        <w:pStyle w:val="ListParagraph"/>
        <w:numPr>
          <w:ilvl w:val="1"/>
          <w:numId w:val="9"/>
        </w:numPr>
        <w:rPr>
          <w:rFonts w:ascii="Arial" w:hAnsi="Arial" w:cs="Arial"/>
          <w:vanish/>
          <w:sz w:val="24"/>
          <w:szCs w:val="24"/>
          <w:u w:val="single"/>
        </w:rPr>
      </w:pPr>
    </w:p>
    <w:p w14:paraId="31FE63D9" w14:textId="77777777" w:rsidR="00AF45D4" w:rsidRPr="00794B16" w:rsidRDefault="00AF45D4" w:rsidP="00AF45D4">
      <w:pPr>
        <w:pStyle w:val="ListParagraph"/>
        <w:numPr>
          <w:ilvl w:val="1"/>
          <w:numId w:val="9"/>
        </w:numPr>
        <w:rPr>
          <w:rFonts w:ascii="Arial" w:hAnsi="Arial" w:cs="Arial"/>
          <w:vanish/>
          <w:sz w:val="24"/>
          <w:szCs w:val="24"/>
          <w:u w:val="single"/>
        </w:rPr>
      </w:pPr>
    </w:p>
    <w:p w14:paraId="1FCDC2AC" w14:textId="77777777" w:rsidR="00AF45D4" w:rsidRPr="00794B16" w:rsidRDefault="00AF45D4" w:rsidP="00AF45D4">
      <w:pPr>
        <w:pStyle w:val="ListParagraph"/>
        <w:numPr>
          <w:ilvl w:val="1"/>
          <w:numId w:val="9"/>
        </w:numPr>
        <w:rPr>
          <w:rFonts w:ascii="Arial" w:hAnsi="Arial" w:cs="Arial"/>
          <w:vanish/>
          <w:sz w:val="24"/>
          <w:szCs w:val="24"/>
          <w:u w:val="single"/>
        </w:rPr>
      </w:pPr>
    </w:p>
    <w:p w14:paraId="4F9DB6DF" w14:textId="77777777" w:rsidR="00AF45D4" w:rsidRPr="00794B16" w:rsidRDefault="00AF45D4" w:rsidP="00AF45D4">
      <w:pPr>
        <w:pStyle w:val="ListParagraph"/>
        <w:numPr>
          <w:ilvl w:val="1"/>
          <w:numId w:val="9"/>
        </w:numPr>
        <w:rPr>
          <w:rFonts w:ascii="Arial" w:hAnsi="Arial" w:cs="Arial"/>
          <w:vanish/>
          <w:sz w:val="24"/>
          <w:szCs w:val="24"/>
          <w:u w:val="single"/>
        </w:rPr>
      </w:pPr>
    </w:p>
    <w:p w14:paraId="113D634A" w14:textId="5E78C08E" w:rsidR="00AF45D4" w:rsidRPr="00794B16" w:rsidRDefault="00AF45D4" w:rsidP="00DA2785">
      <w:pPr>
        <w:pStyle w:val="ListParagraph"/>
        <w:numPr>
          <w:ilvl w:val="1"/>
          <w:numId w:val="9"/>
        </w:numPr>
        <w:spacing w:line="360" w:lineRule="auto"/>
        <w:rPr>
          <w:rFonts w:ascii="Arial" w:hAnsi="Arial" w:cs="Arial"/>
          <w:sz w:val="24"/>
          <w:szCs w:val="24"/>
        </w:rPr>
      </w:pPr>
      <w:r w:rsidRPr="00794B16">
        <w:rPr>
          <w:rFonts w:ascii="Arial" w:hAnsi="Arial" w:cs="Arial"/>
          <w:sz w:val="24"/>
          <w:szCs w:val="24"/>
        </w:rPr>
        <w:t>Notes on revised screening distances</w:t>
      </w:r>
      <w:r w:rsidR="00DA2785" w:rsidRPr="00794B16">
        <w:rPr>
          <w:rFonts w:ascii="Arial" w:hAnsi="Arial" w:cs="Arial"/>
          <w:sz w:val="24"/>
          <w:szCs w:val="24"/>
        </w:rPr>
        <w:t>:</w:t>
      </w:r>
    </w:p>
    <w:p w14:paraId="7B16DB21" w14:textId="77777777" w:rsidR="00AF45D4" w:rsidRPr="00794B16" w:rsidRDefault="00AF45D4" w:rsidP="00DA2785">
      <w:pPr>
        <w:pStyle w:val="ListParagraph"/>
        <w:numPr>
          <w:ilvl w:val="2"/>
          <w:numId w:val="9"/>
        </w:numPr>
        <w:spacing w:line="360" w:lineRule="auto"/>
        <w:rPr>
          <w:rFonts w:ascii="Arial" w:hAnsi="Arial" w:cs="Arial"/>
          <w:sz w:val="24"/>
          <w:szCs w:val="24"/>
        </w:rPr>
      </w:pPr>
      <w:r w:rsidRPr="00794B16">
        <w:rPr>
          <w:rFonts w:ascii="Arial" w:hAnsi="Arial" w:cs="Arial"/>
          <w:sz w:val="24"/>
          <w:szCs w:val="24"/>
        </w:rPr>
        <w:t>The proposed distances have been derived to provide the most meaningful screening criteria, i.e. to provide a conservative screen whilst not unnecessarily screening in too many conservation designations as requiring detailed assessment.</w:t>
      </w:r>
    </w:p>
    <w:p w14:paraId="36E18B9B" w14:textId="77777777" w:rsidR="00AF45D4" w:rsidRPr="00794B16" w:rsidRDefault="00AF45D4" w:rsidP="00DA2785">
      <w:pPr>
        <w:pStyle w:val="ListParagraph"/>
        <w:numPr>
          <w:ilvl w:val="2"/>
          <w:numId w:val="9"/>
        </w:numPr>
        <w:spacing w:line="360" w:lineRule="auto"/>
        <w:rPr>
          <w:rFonts w:ascii="Arial" w:hAnsi="Arial" w:cs="Arial"/>
          <w:sz w:val="24"/>
          <w:szCs w:val="24"/>
        </w:rPr>
      </w:pPr>
      <w:r w:rsidRPr="00794B16">
        <w:rPr>
          <w:rFonts w:ascii="Arial" w:hAnsi="Arial" w:cs="Arial"/>
          <w:sz w:val="24"/>
          <w:szCs w:val="24"/>
        </w:rPr>
        <w:t xml:space="preserve">They are based on conservative screening distances where impacts would screen out, established through a suit of AQMAU modelling runs. </w:t>
      </w:r>
    </w:p>
    <w:p w14:paraId="05B594A6" w14:textId="77777777" w:rsidR="00AF45D4" w:rsidRPr="00794B16" w:rsidRDefault="00AF45D4" w:rsidP="00DA2785">
      <w:pPr>
        <w:pStyle w:val="ListParagraph"/>
        <w:numPr>
          <w:ilvl w:val="2"/>
          <w:numId w:val="9"/>
        </w:numPr>
        <w:spacing w:line="360" w:lineRule="auto"/>
        <w:rPr>
          <w:rFonts w:ascii="Arial" w:hAnsi="Arial" w:cs="Arial"/>
          <w:sz w:val="24"/>
          <w:szCs w:val="24"/>
        </w:rPr>
      </w:pPr>
      <w:r w:rsidRPr="00794B16">
        <w:rPr>
          <w:rFonts w:ascii="Arial" w:hAnsi="Arial" w:cs="Arial"/>
          <w:sz w:val="24"/>
          <w:szCs w:val="24"/>
        </w:rPr>
        <w:t>The proposed screening distances for European and SSSI designations are different to those defined for local nature designations due to the differing significance thresholds, i.e. 1 % and 100 %, respectively, for long-term impacts.</w:t>
      </w:r>
    </w:p>
    <w:p w14:paraId="221467E4" w14:textId="77777777" w:rsidR="00AF45D4" w:rsidRPr="00794B16" w:rsidRDefault="00AF45D4" w:rsidP="00DA2785">
      <w:pPr>
        <w:pStyle w:val="ListParagraph"/>
        <w:numPr>
          <w:ilvl w:val="2"/>
          <w:numId w:val="9"/>
        </w:numPr>
        <w:spacing w:line="360" w:lineRule="auto"/>
        <w:rPr>
          <w:rFonts w:ascii="Arial" w:hAnsi="Arial" w:cs="Arial"/>
          <w:sz w:val="24"/>
          <w:szCs w:val="24"/>
        </w:rPr>
      </w:pPr>
      <w:r w:rsidRPr="00794B16">
        <w:rPr>
          <w:rFonts w:ascii="Arial" w:hAnsi="Arial" w:cs="Arial"/>
          <w:sz w:val="24"/>
          <w:szCs w:val="24"/>
        </w:rPr>
        <w:t>The final distances have been rounded to provide distances that remain protective based on AQMAU’s analysis of our modelling results, and the conservatism of the assumptions made in the modelling runs.</w:t>
      </w:r>
    </w:p>
    <w:p w14:paraId="40DB61BB" w14:textId="77777777" w:rsidR="00AF45D4" w:rsidRPr="00794B16" w:rsidRDefault="00AF45D4" w:rsidP="00DA2785">
      <w:pPr>
        <w:pStyle w:val="ListParagraph"/>
        <w:spacing w:line="360" w:lineRule="auto"/>
        <w:ind w:left="0"/>
        <w:rPr>
          <w:rFonts w:ascii="Arial" w:hAnsi="Arial" w:cs="Arial"/>
          <w:b/>
          <w:bCs/>
          <w:sz w:val="24"/>
          <w:szCs w:val="24"/>
        </w:rPr>
      </w:pPr>
    </w:p>
    <w:p w14:paraId="2FE2052F" w14:textId="2AF68849" w:rsidR="007A2884" w:rsidRPr="00794B16" w:rsidRDefault="007A2884" w:rsidP="00DA2785">
      <w:pPr>
        <w:pStyle w:val="ListParagraph"/>
        <w:numPr>
          <w:ilvl w:val="0"/>
          <w:numId w:val="3"/>
        </w:numPr>
        <w:spacing w:line="360" w:lineRule="auto"/>
        <w:rPr>
          <w:rFonts w:ascii="Arial" w:hAnsi="Arial" w:cs="Arial"/>
          <w:b/>
          <w:bCs/>
          <w:sz w:val="24"/>
          <w:szCs w:val="24"/>
        </w:rPr>
      </w:pPr>
      <w:r w:rsidRPr="00794B16">
        <w:rPr>
          <w:rFonts w:ascii="Arial" w:hAnsi="Arial" w:cs="Arial"/>
          <w:b/>
          <w:bCs/>
          <w:sz w:val="24"/>
          <w:szCs w:val="24"/>
        </w:rPr>
        <w:t>Document the outcome of the assessment</w:t>
      </w:r>
    </w:p>
    <w:p w14:paraId="3B730B6D" w14:textId="77777777" w:rsidR="00967343" w:rsidRPr="00794B16" w:rsidRDefault="00967343" w:rsidP="00DA2785">
      <w:pPr>
        <w:pStyle w:val="ListParagraph"/>
        <w:spacing w:line="360" w:lineRule="auto"/>
        <w:ind w:left="360"/>
        <w:rPr>
          <w:rFonts w:ascii="Arial" w:hAnsi="Arial" w:cs="Arial"/>
          <w:b/>
          <w:bCs/>
          <w:sz w:val="24"/>
          <w:szCs w:val="24"/>
        </w:rPr>
      </w:pPr>
    </w:p>
    <w:p w14:paraId="5F39757C" w14:textId="77777777" w:rsidR="0061183E" w:rsidRPr="00794B16" w:rsidRDefault="0061183E" w:rsidP="00DA2785">
      <w:pPr>
        <w:pStyle w:val="ListParagraph"/>
        <w:numPr>
          <w:ilvl w:val="0"/>
          <w:numId w:val="7"/>
        </w:numPr>
        <w:spacing w:line="360" w:lineRule="auto"/>
        <w:rPr>
          <w:rFonts w:ascii="Arial" w:hAnsi="Arial" w:cs="Arial"/>
          <w:vanish/>
          <w:sz w:val="24"/>
          <w:szCs w:val="24"/>
        </w:rPr>
      </w:pPr>
    </w:p>
    <w:p w14:paraId="556C6BB0" w14:textId="2D84EB09" w:rsidR="002E6D62" w:rsidRPr="00794B16" w:rsidRDefault="007A2884" w:rsidP="00DA2785">
      <w:pPr>
        <w:pStyle w:val="ListParagraph"/>
        <w:numPr>
          <w:ilvl w:val="1"/>
          <w:numId w:val="7"/>
        </w:numPr>
        <w:spacing w:line="360" w:lineRule="auto"/>
        <w:rPr>
          <w:rFonts w:ascii="Arial" w:hAnsi="Arial" w:cs="Arial"/>
          <w:sz w:val="24"/>
          <w:szCs w:val="24"/>
        </w:rPr>
      </w:pPr>
      <w:r w:rsidRPr="00794B16">
        <w:rPr>
          <w:rFonts w:ascii="Arial" w:hAnsi="Arial" w:cs="Arial"/>
          <w:sz w:val="24"/>
          <w:szCs w:val="24"/>
        </w:rPr>
        <w:t>When required, paragraph for inclusion in Decision Document where there are no other relevant emissions for consideration under the Habitats Regulations</w:t>
      </w:r>
      <w:r w:rsidR="002E6D62" w:rsidRPr="00794B16">
        <w:rPr>
          <w:rFonts w:ascii="Arial" w:hAnsi="Arial" w:cs="Arial"/>
          <w:sz w:val="24"/>
          <w:szCs w:val="24"/>
        </w:rPr>
        <w:t>.</w:t>
      </w:r>
    </w:p>
    <w:p w14:paraId="334BC7CB" w14:textId="77777777" w:rsidR="002E6D62" w:rsidRPr="00794B16" w:rsidRDefault="007A2884" w:rsidP="00DA2785">
      <w:pPr>
        <w:spacing w:line="360" w:lineRule="auto"/>
        <w:ind w:left="360"/>
        <w:rPr>
          <w:rFonts w:ascii="Arial" w:hAnsi="Arial" w:cs="Arial"/>
          <w:sz w:val="24"/>
          <w:szCs w:val="24"/>
        </w:rPr>
      </w:pPr>
      <w:r w:rsidRPr="00794B16">
        <w:rPr>
          <w:rFonts w:ascii="Arial" w:hAnsi="Arial" w:cs="Arial"/>
          <w:sz w:val="24"/>
          <w:szCs w:val="24"/>
        </w:rPr>
        <w:t xml:space="preserve"> “This installation / regulated facility is not considered ‘relevant’ for assessment under the Agency’s procedures which cover the Conservation of Habitats and Species Regulations 2017 (Habitats Regulations) and/or the Wildlife and Countryside Act 1981 (as amended by the Countryside and Rights of Way Act (</w:t>
      </w:r>
      <w:proofErr w:type="spellStart"/>
      <w:r w:rsidRPr="00794B16">
        <w:rPr>
          <w:rFonts w:ascii="Arial" w:hAnsi="Arial" w:cs="Arial"/>
          <w:sz w:val="24"/>
          <w:szCs w:val="24"/>
        </w:rPr>
        <w:t>CRoW</w:t>
      </w:r>
      <w:proofErr w:type="spellEnd"/>
      <w:r w:rsidRPr="00794B16">
        <w:rPr>
          <w:rFonts w:ascii="Arial" w:hAnsi="Arial" w:cs="Arial"/>
          <w:sz w:val="24"/>
          <w:szCs w:val="24"/>
        </w:rPr>
        <w:t xml:space="preserve">) 2000). This was determined by referring to the Agency’s guidance </w:t>
      </w:r>
      <w:r w:rsidRPr="00794B16">
        <w:rPr>
          <w:rFonts w:ascii="Arial" w:hAnsi="Arial" w:cs="Arial"/>
          <w:sz w:val="24"/>
          <w:szCs w:val="24"/>
        </w:rPr>
        <w:lastRenderedPageBreak/>
        <w:t xml:space="preserve">‘AQTAG 14: Guidance on identifying ‘relevance’ for assessment under the Habitats Regulations for installations with combustion processes.’ There are no other emissions from the installation, thus no detailed assessment of the effect of the releases from the installation on SACs, SPAs and Ramsar sites is required.” </w:t>
      </w:r>
    </w:p>
    <w:p w14:paraId="6BF863E5" w14:textId="549FD0E7" w:rsidR="00660006" w:rsidRPr="00794B16" w:rsidRDefault="007A2884" w:rsidP="00DA2785">
      <w:pPr>
        <w:pStyle w:val="ListParagraph"/>
        <w:numPr>
          <w:ilvl w:val="1"/>
          <w:numId w:val="7"/>
        </w:numPr>
        <w:spacing w:line="360" w:lineRule="auto"/>
        <w:rPr>
          <w:rFonts w:ascii="Arial" w:hAnsi="Arial" w:cs="Arial"/>
          <w:sz w:val="24"/>
          <w:szCs w:val="24"/>
        </w:rPr>
      </w:pPr>
      <w:r w:rsidRPr="00794B16">
        <w:rPr>
          <w:rFonts w:ascii="Arial" w:hAnsi="Arial" w:cs="Arial"/>
          <w:sz w:val="24"/>
          <w:szCs w:val="24"/>
        </w:rPr>
        <w:t>When required, paragraph for inclusion in Decision Document where the combustion process is not relevant for consideration under the Habitats Regulations, but other emissions are relevant</w:t>
      </w:r>
      <w:r w:rsidR="00660006" w:rsidRPr="00794B16">
        <w:rPr>
          <w:rFonts w:ascii="Arial" w:hAnsi="Arial" w:cs="Arial"/>
          <w:sz w:val="24"/>
          <w:szCs w:val="24"/>
        </w:rPr>
        <w:t>.</w:t>
      </w:r>
    </w:p>
    <w:p w14:paraId="18301468" w14:textId="2A48DA26" w:rsidR="002E6D62" w:rsidRPr="00794B16" w:rsidRDefault="007A2884" w:rsidP="00DA2785">
      <w:pPr>
        <w:spacing w:line="360" w:lineRule="auto"/>
        <w:ind w:left="360"/>
        <w:rPr>
          <w:rFonts w:ascii="Arial" w:hAnsi="Arial" w:cs="Arial"/>
          <w:sz w:val="24"/>
          <w:szCs w:val="24"/>
        </w:rPr>
      </w:pPr>
      <w:r w:rsidRPr="00794B16">
        <w:rPr>
          <w:rFonts w:ascii="Arial" w:hAnsi="Arial" w:cs="Arial"/>
          <w:sz w:val="24"/>
          <w:szCs w:val="24"/>
        </w:rPr>
        <w:t>“The combustion process at the installation / regulated facility is not considered ‘relevant’ for assessment under the Agency’s procedures which cover the Conservation of Habitats and Species Regulations 2017 (Habitats Regulations) and/or the Wildlife and Countryside Act 1981 (as amended by the Countryside and Rights of Way Act (</w:t>
      </w:r>
      <w:proofErr w:type="spellStart"/>
      <w:r w:rsidRPr="00794B16">
        <w:rPr>
          <w:rFonts w:ascii="Arial" w:hAnsi="Arial" w:cs="Arial"/>
          <w:sz w:val="24"/>
          <w:szCs w:val="24"/>
        </w:rPr>
        <w:t>CRoW</w:t>
      </w:r>
      <w:proofErr w:type="spellEnd"/>
      <w:r w:rsidRPr="00794B16">
        <w:rPr>
          <w:rFonts w:ascii="Arial" w:hAnsi="Arial" w:cs="Arial"/>
          <w:sz w:val="24"/>
          <w:szCs w:val="24"/>
        </w:rPr>
        <w:t xml:space="preserve">) 2000). This was determined by referring to the Agency’s guidance ‘AQTAG014: Guidance on identifying ‘relevance’ for assessment under the Habitats Regulations for installations with combustion processes.’ </w:t>
      </w:r>
      <w:proofErr w:type="gramStart"/>
      <w:r w:rsidRPr="00794B16">
        <w:rPr>
          <w:rFonts w:ascii="Arial" w:hAnsi="Arial" w:cs="Arial"/>
          <w:sz w:val="24"/>
          <w:szCs w:val="24"/>
        </w:rPr>
        <w:t>Thus</w:t>
      </w:r>
      <w:proofErr w:type="gramEnd"/>
      <w:r w:rsidRPr="00794B16">
        <w:rPr>
          <w:rFonts w:ascii="Arial" w:hAnsi="Arial" w:cs="Arial"/>
          <w:sz w:val="24"/>
          <w:szCs w:val="24"/>
        </w:rPr>
        <w:t xml:space="preserve"> no detailed assessment of the effect of the releases from the installation's combustion processes on SACs, SPAs and Ramsar sites is required.” </w:t>
      </w:r>
    </w:p>
    <w:p w14:paraId="442ABDAD" w14:textId="13B0609F" w:rsidR="00E64AE2" w:rsidRPr="00794B16" w:rsidRDefault="007A2884" w:rsidP="00DA2785">
      <w:pPr>
        <w:pStyle w:val="ListParagraph"/>
        <w:numPr>
          <w:ilvl w:val="1"/>
          <w:numId w:val="7"/>
        </w:numPr>
        <w:spacing w:line="360" w:lineRule="auto"/>
        <w:rPr>
          <w:rFonts w:ascii="Arial" w:hAnsi="Arial" w:cs="Arial"/>
          <w:sz w:val="24"/>
          <w:szCs w:val="24"/>
        </w:rPr>
      </w:pPr>
      <w:r w:rsidRPr="00794B16">
        <w:rPr>
          <w:rFonts w:ascii="Arial" w:hAnsi="Arial" w:cs="Arial"/>
          <w:sz w:val="24"/>
          <w:szCs w:val="24"/>
        </w:rPr>
        <w:t>Where paragraph 7.2 is used in the Decision Document the results of the assessments for other relevant emissions from the process must be fully documented.</w:t>
      </w:r>
    </w:p>
    <w:p w14:paraId="53F9B0FE" w14:textId="77777777" w:rsidR="00F8547A" w:rsidRPr="00794B16" w:rsidRDefault="00F8547A" w:rsidP="00F8547A">
      <w:pPr>
        <w:rPr>
          <w:rFonts w:ascii="Arial" w:hAnsi="Arial" w:cs="Arial"/>
          <w:sz w:val="24"/>
          <w:szCs w:val="24"/>
        </w:rPr>
      </w:pPr>
    </w:p>
    <w:p w14:paraId="794764A0" w14:textId="52D0337E" w:rsidR="00F8547A" w:rsidRPr="00794B16" w:rsidRDefault="00F8547A" w:rsidP="00F8547A">
      <w:pPr>
        <w:jc w:val="center"/>
        <w:rPr>
          <w:rFonts w:ascii="Arial" w:hAnsi="Arial" w:cs="Arial"/>
          <w:sz w:val="24"/>
          <w:szCs w:val="24"/>
        </w:rPr>
      </w:pPr>
      <w:r w:rsidRPr="00794B16">
        <w:rPr>
          <w:rFonts w:ascii="Arial" w:hAnsi="Arial" w:cs="Arial"/>
          <w:sz w:val="24"/>
          <w:szCs w:val="24"/>
        </w:rPr>
        <w:t>E</w:t>
      </w:r>
      <w:r w:rsidR="00DA2785" w:rsidRPr="00794B16">
        <w:rPr>
          <w:rFonts w:ascii="Arial" w:hAnsi="Arial" w:cs="Arial"/>
          <w:sz w:val="24"/>
          <w:szCs w:val="24"/>
        </w:rPr>
        <w:t>nd of document</w:t>
      </w:r>
    </w:p>
    <w:sectPr w:rsidR="00F8547A" w:rsidRPr="00794B1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02832" w14:textId="77777777" w:rsidR="00C66DBD" w:rsidRDefault="00C66DBD" w:rsidP="002442A9">
      <w:pPr>
        <w:spacing w:after="0" w:line="240" w:lineRule="auto"/>
      </w:pPr>
      <w:r>
        <w:separator/>
      </w:r>
    </w:p>
  </w:endnote>
  <w:endnote w:type="continuationSeparator" w:id="0">
    <w:p w14:paraId="15C3041F" w14:textId="77777777" w:rsidR="00C66DBD" w:rsidRDefault="00C66DBD" w:rsidP="00244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878A4" w14:textId="725D2C1A" w:rsidR="002442A9" w:rsidRDefault="002442A9">
    <w:pPr>
      <w:pStyle w:val="Footer"/>
    </w:pPr>
    <w:r>
      <w:rPr>
        <w:noProof/>
      </w:rPr>
      <mc:AlternateContent>
        <mc:Choice Requires="wps">
          <w:drawing>
            <wp:anchor distT="0" distB="0" distL="0" distR="0" simplePos="0" relativeHeight="251662336" behindDoc="0" locked="0" layoutInCell="1" allowOverlap="1" wp14:anchorId="7B71E744" wp14:editId="74C5CFE9">
              <wp:simplePos x="635" y="635"/>
              <wp:positionH relativeFrom="page">
                <wp:align>center</wp:align>
              </wp:positionH>
              <wp:positionV relativeFrom="page">
                <wp:align>bottom</wp:align>
              </wp:positionV>
              <wp:extent cx="459740" cy="357505"/>
              <wp:effectExtent l="0" t="0" r="16510" b="0"/>
              <wp:wrapNone/>
              <wp:docPr id="48144876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F6D86B4" w14:textId="37D57431" w:rsidR="002442A9" w:rsidRPr="002442A9" w:rsidRDefault="002442A9" w:rsidP="002442A9">
                          <w:pPr>
                            <w:spacing w:after="0"/>
                            <w:rPr>
                              <w:rFonts w:ascii="Calibri" w:eastAsia="Calibri" w:hAnsi="Calibri" w:cs="Calibri"/>
                              <w:noProof/>
                              <w:color w:val="0000FF"/>
                              <w:sz w:val="20"/>
                              <w:szCs w:val="20"/>
                            </w:rPr>
                          </w:pPr>
                          <w:r w:rsidRPr="002442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71E744" id="_x0000_t202" coordsize="21600,21600" o:spt="202" path="m,l,21600r21600,l21600,xe">
              <v:stroke joinstyle="miter"/>
              <v:path gradientshapeok="t" o:connecttype="rect"/>
            </v:shapetype>
            <v:shape id="Text Box 5" o:spid="_x0000_s1028" type="#_x0000_t202" alt="OFFICIAL" style="position:absolute;margin-left:0;margin-top:0;width:36.2pt;height:28.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4F6D86B4" w14:textId="37D57431" w:rsidR="002442A9" w:rsidRPr="002442A9" w:rsidRDefault="002442A9" w:rsidP="002442A9">
                    <w:pPr>
                      <w:spacing w:after="0"/>
                      <w:rPr>
                        <w:rFonts w:ascii="Calibri" w:eastAsia="Calibri" w:hAnsi="Calibri" w:cs="Calibri"/>
                        <w:noProof/>
                        <w:color w:val="0000FF"/>
                        <w:sz w:val="20"/>
                        <w:szCs w:val="20"/>
                      </w:rPr>
                    </w:pPr>
                    <w:r w:rsidRPr="002442A9">
                      <w:rPr>
                        <w:rFonts w:ascii="Calibri" w:eastAsia="Calibri" w:hAnsi="Calibri" w:cs="Calibri"/>
                        <w:noProof/>
                        <w:color w:val="0000F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5907315"/>
      <w:docPartObj>
        <w:docPartGallery w:val="Page Numbers (Bottom of Page)"/>
        <w:docPartUnique/>
      </w:docPartObj>
    </w:sdtPr>
    <w:sdtEndPr>
      <w:rPr>
        <w:noProof/>
      </w:rPr>
    </w:sdtEndPr>
    <w:sdtContent>
      <w:p w14:paraId="4848F522" w14:textId="10CEEEA2" w:rsidR="00310DA8" w:rsidRDefault="00310D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5E29EF" w14:textId="4061FED2" w:rsidR="002442A9" w:rsidRPr="00574CAE" w:rsidRDefault="00574CAE">
    <w:pPr>
      <w:pStyle w:val="Footer"/>
      <w:rPr>
        <w:rFonts w:ascii="Arial" w:hAnsi="Arial" w:cs="Arial"/>
      </w:rPr>
    </w:pPr>
    <w:r w:rsidRPr="00574CAE">
      <w:rPr>
        <w:rFonts w:ascii="Arial" w:hAnsi="Arial" w:cs="Arial"/>
      </w:rPr>
      <w:t>AGTAG14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EEAB0" w14:textId="42994F31" w:rsidR="002442A9" w:rsidRDefault="002442A9">
    <w:pPr>
      <w:pStyle w:val="Footer"/>
    </w:pPr>
    <w:r>
      <w:rPr>
        <w:noProof/>
      </w:rPr>
      <mc:AlternateContent>
        <mc:Choice Requires="wps">
          <w:drawing>
            <wp:anchor distT="0" distB="0" distL="0" distR="0" simplePos="0" relativeHeight="251661312" behindDoc="0" locked="0" layoutInCell="1" allowOverlap="1" wp14:anchorId="0E7FD416" wp14:editId="61CCBF1D">
              <wp:simplePos x="635" y="635"/>
              <wp:positionH relativeFrom="page">
                <wp:align>center</wp:align>
              </wp:positionH>
              <wp:positionV relativeFrom="page">
                <wp:align>bottom</wp:align>
              </wp:positionV>
              <wp:extent cx="459740" cy="357505"/>
              <wp:effectExtent l="0" t="0" r="16510" b="0"/>
              <wp:wrapNone/>
              <wp:docPr id="112219240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39795FE" w14:textId="7962080A" w:rsidR="002442A9" w:rsidRPr="002442A9" w:rsidRDefault="002442A9" w:rsidP="002442A9">
                          <w:pPr>
                            <w:spacing w:after="0"/>
                            <w:rPr>
                              <w:rFonts w:ascii="Calibri" w:eastAsia="Calibri" w:hAnsi="Calibri" w:cs="Calibri"/>
                              <w:noProof/>
                              <w:color w:val="0000FF"/>
                              <w:sz w:val="20"/>
                              <w:szCs w:val="20"/>
                            </w:rPr>
                          </w:pPr>
                          <w:r w:rsidRPr="002442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7FD416" id="_x0000_t202" coordsize="21600,21600" o:spt="202" path="m,l,21600r21600,l21600,xe">
              <v:stroke joinstyle="miter"/>
              <v:path gradientshapeok="t" o:connecttype="rect"/>
            </v:shapetype>
            <v:shape id="Text Box 4" o:spid="_x0000_s1030" type="#_x0000_t202" alt="OFFICIAL" style="position:absolute;margin-left:0;margin-top:0;width:36.2pt;height:28.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RLDg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I2P3W6iONBTCsG/v5Kql0mvhw7NAWjB1S6IN&#10;T3TUGrqSw8nirAH88Td/zCfeKcpZR4IpuSVFc6a/WdpH1NZo4GhskzG9zWc5xe3e3APJcEovwslk&#10;kheDHs0awbySnJexEIWElVSu5NvRvA+Dcuk5SLVcpiSSkRNhbTdORuhIV+TypX8V6E6EB9rUI4xq&#10;EsUb3ofceNO75T4Q+2kpkdqByBPjJMG01tNziRr/9T9lXR714icA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XcOkSw4CAAAc&#10;BAAADgAAAAAAAAAAAAAAAAAuAgAAZHJzL2Uyb0RvYy54bWxQSwECLQAUAAYACAAAACEA5JR8I9sA&#10;AAADAQAADwAAAAAAAAAAAAAAAABoBAAAZHJzL2Rvd25yZXYueG1sUEsFBgAAAAAEAAQA8wAAAHAF&#10;AAAAAA==&#10;" filled="f" stroked="f">
              <v:textbox style="mso-fit-shape-to-text:t" inset="0,0,0,15pt">
                <w:txbxContent>
                  <w:p w14:paraId="539795FE" w14:textId="7962080A" w:rsidR="002442A9" w:rsidRPr="002442A9" w:rsidRDefault="002442A9" w:rsidP="002442A9">
                    <w:pPr>
                      <w:spacing w:after="0"/>
                      <w:rPr>
                        <w:rFonts w:ascii="Calibri" w:eastAsia="Calibri" w:hAnsi="Calibri" w:cs="Calibri"/>
                        <w:noProof/>
                        <w:color w:val="0000FF"/>
                        <w:sz w:val="20"/>
                        <w:szCs w:val="20"/>
                      </w:rPr>
                    </w:pPr>
                    <w:r w:rsidRPr="002442A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E8291" w14:textId="77777777" w:rsidR="00C66DBD" w:rsidRDefault="00C66DBD" w:rsidP="002442A9">
      <w:pPr>
        <w:spacing w:after="0" w:line="240" w:lineRule="auto"/>
      </w:pPr>
      <w:r>
        <w:separator/>
      </w:r>
    </w:p>
  </w:footnote>
  <w:footnote w:type="continuationSeparator" w:id="0">
    <w:p w14:paraId="1829C17A" w14:textId="77777777" w:rsidR="00C66DBD" w:rsidRDefault="00C66DBD" w:rsidP="00244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23970" w14:textId="1A0FE5D5" w:rsidR="002442A9" w:rsidRDefault="002442A9">
    <w:pPr>
      <w:pStyle w:val="Header"/>
    </w:pPr>
    <w:r>
      <w:rPr>
        <w:noProof/>
      </w:rPr>
      <mc:AlternateContent>
        <mc:Choice Requires="wps">
          <w:drawing>
            <wp:anchor distT="0" distB="0" distL="0" distR="0" simplePos="0" relativeHeight="251659264" behindDoc="0" locked="0" layoutInCell="1" allowOverlap="1" wp14:anchorId="6EF0CDD5" wp14:editId="6ECC8B59">
              <wp:simplePos x="635" y="635"/>
              <wp:positionH relativeFrom="page">
                <wp:align>center</wp:align>
              </wp:positionH>
              <wp:positionV relativeFrom="page">
                <wp:align>top</wp:align>
              </wp:positionV>
              <wp:extent cx="459740" cy="357505"/>
              <wp:effectExtent l="0" t="0" r="16510" b="4445"/>
              <wp:wrapNone/>
              <wp:docPr id="32170323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E2FA995" w14:textId="258968B6" w:rsidR="002442A9" w:rsidRPr="002442A9" w:rsidRDefault="002442A9" w:rsidP="002442A9">
                          <w:pPr>
                            <w:spacing w:after="0"/>
                            <w:rPr>
                              <w:rFonts w:ascii="Calibri" w:eastAsia="Calibri" w:hAnsi="Calibri" w:cs="Calibri"/>
                              <w:noProof/>
                              <w:color w:val="0000FF"/>
                              <w:sz w:val="20"/>
                              <w:szCs w:val="20"/>
                            </w:rPr>
                          </w:pPr>
                          <w:r w:rsidRPr="002442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F0CDD5"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1E2FA995" w14:textId="258968B6" w:rsidR="002442A9" w:rsidRPr="002442A9" w:rsidRDefault="002442A9" w:rsidP="002442A9">
                    <w:pPr>
                      <w:spacing w:after="0"/>
                      <w:rPr>
                        <w:rFonts w:ascii="Calibri" w:eastAsia="Calibri" w:hAnsi="Calibri" w:cs="Calibri"/>
                        <w:noProof/>
                        <w:color w:val="0000FF"/>
                        <w:sz w:val="20"/>
                        <w:szCs w:val="20"/>
                      </w:rPr>
                    </w:pPr>
                    <w:r w:rsidRPr="002442A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502FD" w14:textId="111F37F6" w:rsidR="002442A9" w:rsidRDefault="002442A9">
    <w:pPr>
      <w:pStyle w:val="Header"/>
    </w:pPr>
    <w:r>
      <w:rPr>
        <w:noProof/>
      </w:rPr>
      <mc:AlternateContent>
        <mc:Choice Requires="wps">
          <w:drawing>
            <wp:anchor distT="0" distB="0" distL="0" distR="0" simplePos="0" relativeHeight="251660288" behindDoc="0" locked="0" layoutInCell="1" allowOverlap="1" wp14:anchorId="75B287B8" wp14:editId="305AF533">
              <wp:simplePos x="635" y="635"/>
              <wp:positionH relativeFrom="page">
                <wp:align>center</wp:align>
              </wp:positionH>
              <wp:positionV relativeFrom="page">
                <wp:align>top</wp:align>
              </wp:positionV>
              <wp:extent cx="459740" cy="357505"/>
              <wp:effectExtent l="0" t="0" r="16510" b="4445"/>
              <wp:wrapNone/>
              <wp:docPr id="66414308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D905B89" w14:textId="361486CA" w:rsidR="002442A9" w:rsidRPr="002442A9" w:rsidRDefault="002442A9" w:rsidP="002442A9">
                          <w:pPr>
                            <w:spacing w:after="0"/>
                            <w:rPr>
                              <w:rFonts w:ascii="Calibri" w:eastAsia="Calibri" w:hAnsi="Calibri" w:cs="Calibri"/>
                              <w:noProof/>
                              <w:color w:val="0000FF"/>
                              <w:sz w:val="20"/>
                              <w:szCs w:val="20"/>
                            </w:rPr>
                          </w:pPr>
                          <w:r w:rsidRPr="002442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B287B8"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textbox style="mso-fit-shape-to-text:t" inset="0,15pt,0,0">
                <w:txbxContent>
                  <w:p w14:paraId="4D905B89" w14:textId="361486CA" w:rsidR="002442A9" w:rsidRPr="002442A9" w:rsidRDefault="002442A9" w:rsidP="002442A9">
                    <w:pPr>
                      <w:spacing w:after="0"/>
                      <w:rPr>
                        <w:rFonts w:ascii="Calibri" w:eastAsia="Calibri" w:hAnsi="Calibri" w:cs="Calibri"/>
                        <w:noProof/>
                        <w:color w:val="0000FF"/>
                        <w:sz w:val="20"/>
                        <w:szCs w:val="20"/>
                      </w:rPr>
                    </w:pPr>
                    <w:r w:rsidRPr="002442A9">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2E5D1" w14:textId="248401B6" w:rsidR="002442A9" w:rsidRDefault="002442A9">
    <w:pPr>
      <w:pStyle w:val="Header"/>
    </w:pPr>
    <w:r>
      <w:rPr>
        <w:noProof/>
      </w:rPr>
      <mc:AlternateContent>
        <mc:Choice Requires="wps">
          <w:drawing>
            <wp:anchor distT="0" distB="0" distL="0" distR="0" simplePos="0" relativeHeight="251658240" behindDoc="0" locked="0" layoutInCell="1" allowOverlap="1" wp14:anchorId="77426606" wp14:editId="5C9CB672">
              <wp:simplePos x="635" y="635"/>
              <wp:positionH relativeFrom="page">
                <wp:align>center</wp:align>
              </wp:positionH>
              <wp:positionV relativeFrom="page">
                <wp:align>top</wp:align>
              </wp:positionV>
              <wp:extent cx="459740" cy="357505"/>
              <wp:effectExtent l="0" t="0" r="16510" b="4445"/>
              <wp:wrapNone/>
              <wp:docPr id="166290002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4D03657" w14:textId="62C176CE" w:rsidR="002442A9" w:rsidRPr="002442A9" w:rsidRDefault="002442A9" w:rsidP="002442A9">
                          <w:pPr>
                            <w:spacing w:after="0"/>
                            <w:rPr>
                              <w:rFonts w:ascii="Calibri" w:eastAsia="Calibri" w:hAnsi="Calibri" w:cs="Calibri"/>
                              <w:noProof/>
                              <w:color w:val="0000FF"/>
                              <w:sz w:val="20"/>
                              <w:szCs w:val="20"/>
                            </w:rPr>
                          </w:pPr>
                          <w:r w:rsidRPr="002442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426606" id="_x0000_t202" coordsize="21600,21600" o:spt="202" path="m,l,21600r21600,l21600,xe">
              <v:stroke joinstyle="miter"/>
              <v:path gradientshapeok="t" o:connecttype="rect"/>
            </v:shapetype>
            <v:shape id="Text Box 1" o:spid="_x0000_s1029"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MA46E8NAgAAHAQA&#10;AA4AAAAAAAAAAAAAAAAALgIAAGRycy9lMm9Eb2MueG1sUEsBAi0AFAAGAAgAAAAhAAdnoJzaAAAA&#10;AwEAAA8AAAAAAAAAAAAAAAAAZwQAAGRycy9kb3ducmV2LnhtbFBLBQYAAAAABAAEAPMAAABuBQAA&#10;AAA=&#10;" filled="f" stroked="f">
              <v:textbox style="mso-fit-shape-to-text:t" inset="0,15pt,0,0">
                <w:txbxContent>
                  <w:p w14:paraId="24D03657" w14:textId="62C176CE" w:rsidR="002442A9" w:rsidRPr="002442A9" w:rsidRDefault="002442A9" w:rsidP="002442A9">
                    <w:pPr>
                      <w:spacing w:after="0"/>
                      <w:rPr>
                        <w:rFonts w:ascii="Calibri" w:eastAsia="Calibri" w:hAnsi="Calibri" w:cs="Calibri"/>
                        <w:noProof/>
                        <w:color w:val="0000FF"/>
                        <w:sz w:val="20"/>
                        <w:szCs w:val="20"/>
                      </w:rPr>
                    </w:pPr>
                    <w:r w:rsidRPr="002442A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76F23"/>
    <w:multiLevelType w:val="multilevel"/>
    <w:tmpl w:val="BBA8A4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2B0E84"/>
    <w:multiLevelType w:val="hybridMultilevel"/>
    <w:tmpl w:val="0822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35A32"/>
    <w:multiLevelType w:val="multilevel"/>
    <w:tmpl w:val="B6AA05B8"/>
    <w:lvl w:ilvl="0">
      <w:start w:val="1"/>
      <w:numFmt w:val="decimal"/>
      <w:lvlText w:val="%1"/>
      <w:lvlJc w:val="left"/>
      <w:pPr>
        <w:ind w:left="360" w:hanging="360"/>
      </w:pPr>
      <w:rPr>
        <w:rFonts w:hint="default"/>
        <w:b w:val="0"/>
      </w:rPr>
    </w:lvl>
    <w:lvl w:ilvl="1">
      <w:start w:val="1"/>
      <w:numFmt w:val="decimal"/>
      <w:lvlText w:val="%1.%2"/>
      <w:lvlJc w:val="left"/>
      <w:pPr>
        <w:ind w:left="851" w:hanging="491"/>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3F6A1213"/>
    <w:multiLevelType w:val="hybridMultilevel"/>
    <w:tmpl w:val="3E94142E"/>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22544B7"/>
    <w:multiLevelType w:val="hybridMultilevel"/>
    <w:tmpl w:val="B9DA8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9E4D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F54864"/>
    <w:multiLevelType w:val="multilevel"/>
    <w:tmpl w:val="E772BBE6"/>
    <w:lvl w:ilvl="0">
      <w:start w:val="1"/>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7" w15:restartNumberingAfterBreak="0">
    <w:nsid w:val="6700442A"/>
    <w:multiLevelType w:val="multilevel"/>
    <w:tmpl w:val="80AE3A7C"/>
    <w:lvl w:ilvl="0">
      <w:start w:val="1"/>
      <w:numFmt w:val="decimal"/>
      <w:lvlText w:val="%1"/>
      <w:lvlJc w:val="left"/>
      <w:pPr>
        <w:ind w:left="360" w:hanging="360"/>
      </w:pPr>
      <w:rPr>
        <w:rFonts w:hint="default"/>
        <w:b w:val="0"/>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8" w15:restartNumberingAfterBreak="0">
    <w:nsid w:val="762E24FF"/>
    <w:multiLevelType w:val="multilevel"/>
    <w:tmpl w:val="B6AA05B8"/>
    <w:lvl w:ilvl="0">
      <w:start w:val="1"/>
      <w:numFmt w:val="decimal"/>
      <w:lvlText w:val="%1"/>
      <w:lvlJc w:val="left"/>
      <w:pPr>
        <w:ind w:left="360" w:hanging="360"/>
      </w:pPr>
      <w:rPr>
        <w:rFonts w:hint="default"/>
        <w:b w:val="0"/>
      </w:rPr>
    </w:lvl>
    <w:lvl w:ilvl="1">
      <w:start w:val="1"/>
      <w:numFmt w:val="decimal"/>
      <w:lvlText w:val="%1.%2"/>
      <w:lvlJc w:val="left"/>
      <w:pPr>
        <w:ind w:left="851" w:hanging="491"/>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16cid:durableId="1879976807">
    <w:abstractNumId w:val="4"/>
  </w:num>
  <w:num w:numId="2" w16cid:durableId="1403985080">
    <w:abstractNumId w:val="0"/>
  </w:num>
  <w:num w:numId="3" w16cid:durableId="244150053">
    <w:abstractNumId w:val="3"/>
  </w:num>
  <w:num w:numId="4" w16cid:durableId="148063662">
    <w:abstractNumId w:val="6"/>
  </w:num>
  <w:num w:numId="5" w16cid:durableId="866721799">
    <w:abstractNumId w:val="5"/>
  </w:num>
  <w:num w:numId="6" w16cid:durableId="46533864">
    <w:abstractNumId w:val="7"/>
  </w:num>
  <w:num w:numId="7" w16cid:durableId="654451525">
    <w:abstractNumId w:val="8"/>
  </w:num>
  <w:num w:numId="8" w16cid:durableId="1184056351">
    <w:abstractNumId w:val="1"/>
  </w:num>
  <w:num w:numId="9" w16cid:durableId="1923945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98"/>
    <w:rsid w:val="0005300E"/>
    <w:rsid w:val="000B5F91"/>
    <w:rsid w:val="000B6575"/>
    <w:rsid w:val="00106F65"/>
    <w:rsid w:val="001A10B3"/>
    <w:rsid w:val="001B5471"/>
    <w:rsid w:val="00242B59"/>
    <w:rsid w:val="002442A9"/>
    <w:rsid w:val="002E6D62"/>
    <w:rsid w:val="00306E98"/>
    <w:rsid w:val="00310DA8"/>
    <w:rsid w:val="003236E6"/>
    <w:rsid w:val="00331899"/>
    <w:rsid w:val="003D2BF2"/>
    <w:rsid w:val="003D3D96"/>
    <w:rsid w:val="003D449E"/>
    <w:rsid w:val="003E0A15"/>
    <w:rsid w:val="003F76C7"/>
    <w:rsid w:val="004718BE"/>
    <w:rsid w:val="0047676A"/>
    <w:rsid w:val="0048388A"/>
    <w:rsid w:val="00484D6C"/>
    <w:rsid w:val="00574CAE"/>
    <w:rsid w:val="0057601B"/>
    <w:rsid w:val="005767AC"/>
    <w:rsid w:val="00586347"/>
    <w:rsid w:val="005E49C7"/>
    <w:rsid w:val="006074AE"/>
    <w:rsid w:val="0061183E"/>
    <w:rsid w:val="00660006"/>
    <w:rsid w:val="0067237F"/>
    <w:rsid w:val="006912A1"/>
    <w:rsid w:val="006C6444"/>
    <w:rsid w:val="00736623"/>
    <w:rsid w:val="00742002"/>
    <w:rsid w:val="00767973"/>
    <w:rsid w:val="00794B16"/>
    <w:rsid w:val="007A2884"/>
    <w:rsid w:val="007B680B"/>
    <w:rsid w:val="00804A63"/>
    <w:rsid w:val="008E4238"/>
    <w:rsid w:val="00967343"/>
    <w:rsid w:val="00971536"/>
    <w:rsid w:val="00A00BB8"/>
    <w:rsid w:val="00A02343"/>
    <w:rsid w:val="00A81F28"/>
    <w:rsid w:val="00A8391D"/>
    <w:rsid w:val="00AA3271"/>
    <w:rsid w:val="00AF45D4"/>
    <w:rsid w:val="00B206E2"/>
    <w:rsid w:val="00B319D0"/>
    <w:rsid w:val="00B57A16"/>
    <w:rsid w:val="00B96174"/>
    <w:rsid w:val="00BD3D8A"/>
    <w:rsid w:val="00C45D19"/>
    <w:rsid w:val="00C66DBD"/>
    <w:rsid w:val="00CB2DC0"/>
    <w:rsid w:val="00CC0551"/>
    <w:rsid w:val="00D0612A"/>
    <w:rsid w:val="00D06D51"/>
    <w:rsid w:val="00DA2785"/>
    <w:rsid w:val="00E302D7"/>
    <w:rsid w:val="00E64AE2"/>
    <w:rsid w:val="00EE04A9"/>
    <w:rsid w:val="00F01AF7"/>
    <w:rsid w:val="00F50A9A"/>
    <w:rsid w:val="00F8547A"/>
    <w:rsid w:val="00F87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5380F"/>
  <w15:chartTrackingRefBased/>
  <w15:docId w15:val="{17FAD4CF-932C-4DC6-9504-36A73B5E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E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E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E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E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E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E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E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E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E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E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E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E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E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E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E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E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E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E98"/>
    <w:rPr>
      <w:rFonts w:eastAsiaTheme="majorEastAsia" w:cstheme="majorBidi"/>
      <w:color w:val="272727" w:themeColor="text1" w:themeTint="D8"/>
    </w:rPr>
  </w:style>
  <w:style w:type="paragraph" w:styleId="Title">
    <w:name w:val="Title"/>
    <w:basedOn w:val="Normal"/>
    <w:next w:val="Normal"/>
    <w:link w:val="TitleChar"/>
    <w:uiPriority w:val="10"/>
    <w:qFormat/>
    <w:rsid w:val="00306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E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E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E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E98"/>
    <w:pPr>
      <w:spacing w:before="160"/>
      <w:jc w:val="center"/>
    </w:pPr>
    <w:rPr>
      <w:i/>
      <w:iCs/>
      <w:color w:val="404040" w:themeColor="text1" w:themeTint="BF"/>
    </w:rPr>
  </w:style>
  <w:style w:type="character" w:customStyle="1" w:styleId="QuoteChar">
    <w:name w:val="Quote Char"/>
    <w:basedOn w:val="DefaultParagraphFont"/>
    <w:link w:val="Quote"/>
    <w:uiPriority w:val="29"/>
    <w:rsid w:val="00306E98"/>
    <w:rPr>
      <w:i/>
      <w:iCs/>
      <w:color w:val="404040" w:themeColor="text1" w:themeTint="BF"/>
    </w:rPr>
  </w:style>
  <w:style w:type="paragraph" w:styleId="ListParagraph">
    <w:name w:val="List Paragraph"/>
    <w:basedOn w:val="Normal"/>
    <w:uiPriority w:val="34"/>
    <w:qFormat/>
    <w:rsid w:val="00306E98"/>
    <w:pPr>
      <w:ind w:left="720"/>
      <w:contextualSpacing/>
    </w:pPr>
  </w:style>
  <w:style w:type="character" w:styleId="IntenseEmphasis">
    <w:name w:val="Intense Emphasis"/>
    <w:basedOn w:val="DefaultParagraphFont"/>
    <w:uiPriority w:val="21"/>
    <w:qFormat/>
    <w:rsid w:val="00306E98"/>
    <w:rPr>
      <w:i/>
      <w:iCs/>
      <w:color w:val="0F4761" w:themeColor="accent1" w:themeShade="BF"/>
    </w:rPr>
  </w:style>
  <w:style w:type="paragraph" w:styleId="IntenseQuote">
    <w:name w:val="Intense Quote"/>
    <w:basedOn w:val="Normal"/>
    <w:next w:val="Normal"/>
    <w:link w:val="IntenseQuoteChar"/>
    <w:uiPriority w:val="30"/>
    <w:qFormat/>
    <w:rsid w:val="00306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E98"/>
    <w:rPr>
      <w:i/>
      <w:iCs/>
      <w:color w:val="0F4761" w:themeColor="accent1" w:themeShade="BF"/>
    </w:rPr>
  </w:style>
  <w:style w:type="character" w:styleId="IntenseReference">
    <w:name w:val="Intense Reference"/>
    <w:basedOn w:val="DefaultParagraphFont"/>
    <w:uiPriority w:val="32"/>
    <w:qFormat/>
    <w:rsid w:val="00306E98"/>
    <w:rPr>
      <w:b/>
      <w:bCs/>
      <w:smallCaps/>
      <w:color w:val="0F4761" w:themeColor="accent1" w:themeShade="BF"/>
      <w:spacing w:val="5"/>
    </w:rPr>
  </w:style>
  <w:style w:type="table" w:styleId="TableGrid">
    <w:name w:val="Table Grid"/>
    <w:basedOn w:val="TableNormal"/>
    <w:uiPriority w:val="39"/>
    <w:rsid w:val="00306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AE2"/>
    <w:rPr>
      <w:color w:val="467886" w:themeColor="hyperlink"/>
      <w:u w:val="single"/>
    </w:rPr>
  </w:style>
  <w:style w:type="character" w:styleId="UnresolvedMention">
    <w:name w:val="Unresolved Mention"/>
    <w:basedOn w:val="DefaultParagraphFont"/>
    <w:uiPriority w:val="99"/>
    <w:semiHidden/>
    <w:unhideWhenUsed/>
    <w:rsid w:val="00E64AE2"/>
    <w:rPr>
      <w:color w:val="605E5C"/>
      <w:shd w:val="clear" w:color="auto" w:fill="E1DFDD"/>
    </w:rPr>
  </w:style>
  <w:style w:type="paragraph" w:styleId="Header">
    <w:name w:val="header"/>
    <w:basedOn w:val="Normal"/>
    <w:link w:val="HeaderChar"/>
    <w:uiPriority w:val="99"/>
    <w:unhideWhenUsed/>
    <w:rsid w:val="00244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2A9"/>
  </w:style>
  <w:style w:type="paragraph" w:styleId="Footer">
    <w:name w:val="footer"/>
    <w:basedOn w:val="Normal"/>
    <w:link w:val="FooterChar"/>
    <w:uiPriority w:val="99"/>
    <w:unhideWhenUsed/>
    <w:rsid w:val="00244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ra.sharepoint.com/:w:/r/sites/def-contentcloud/_layouts/15/Doc.aspx?sourcedoc=%7B0272afa3-be9a-4fc4-b908-70046f1394ce%7D&amp;action=default&amp;mobileredirect=tru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ms.ea.gov/ams_root/06/6_09_habitats_directive/254_06.doc"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ms.ea.gov/ams_root/2012/51_100/67_12.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ms.ea.gov/ams_root/2012/51_100/66_12.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fra.sharepoint.com/:w:/r/sites/def-contentcloud/_layouts/15/Doc.aspx?sourcedoc=%7B12256407-bcd0-4a09-a3a1-9f0f23413059%7D&amp;action=default&amp;mobileredirect=true&amp;cid=2a7eea68-5aa9-43cb-b3ca-2192d51c423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Susana</dc:creator>
  <cp:keywords/>
  <dc:description/>
  <cp:lastModifiedBy>Caron, Natasha</cp:lastModifiedBy>
  <cp:revision>6</cp:revision>
  <dcterms:created xsi:type="dcterms:W3CDTF">2024-05-24T15:41:00Z</dcterms:created>
  <dcterms:modified xsi:type="dcterms:W3CDTF">2024-06-05T12:30:00Z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631dd736,132ccd43,279604eb</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42e34c19,1cb25339,3c71e065</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2024-05-23T16:36:47Z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b58f2402-9ff7-4477-9212-aea0adeb593b</vt:lpwstr>
  </property>
  <property fmtid="{D5CDD505-2E9C-101B-9397-08002B2CF9AE}" pid="14" name="MSIP_Label_ea4fd52f-9814-4cae-aa53-0ea7b16cd381_ContentBits">
    <vt:lpwstr>3</vt:lpwstr>
  </property>
</Properties>
</file>