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EFF84" w14:textId="77777777" w:rsidR="00EF6C40" w:rsidRDefault="00EF6C40" w:rsidP="00EF6C40">
      <w:pPr>
        <w:rPr>
          <w:rFonts w:ascii="Arial" w:hAnsi="Arial" w:cs="Arial"/>
          <w:b/>
          <w:bCs/>
          <w:sz w:val="28"/>
          <w:szCs w:val="28"/>
          <w:u w:val="single"/>
        </w:rPr>
      </w:pPr>
      <w:r>
        <w:rPr>
          <w:rFonts w:ascii="Arial" w:hAnsi="Arial" w:cs="Arial"/>
          <w:b/>
          <w:bCs/>
          <w:sz w:val="28"/>
          <w:szCs w:val="28"/>
          <w:u w:val="single"/>
        </w:rPr>
        <w:t xml:space="preserve">Interim Marine Modelling Guidance for Aquaculture Applications </w:t>
      </w:r>
    </w:p>
    <w:p w14:paraId="46BD2B3E" w14:textId="77777777" w:rsidR="00EF6C40" w:rsidRDefault="00EF6C40" w:rsidP="00EF6C40">
      <w:pPr>
        <w:rPr>
          <w:rFonts w:ascii="Arial" w:hAnsi="Arial" w:cs="Arial"/>
          <w:b/>
          <w:bCs/>
          <w:sz w:val="28"/>
          <w:szCs w:val="28"/>
          <w:u w:val="single"/>
        </w:rPr>
      </w:pPr>
    </w:p>
    <w:p w14:paraId="6230BD84" w14:textId="77777777" w:rsidR="00EF6C40" w:rsidRDefault="00EF6C40" w:rsidP="00EF6C40">
      <w:pPr>
        <w:rPr>
          <w:rFonts w:ascii="Arial" w:hAnsi="Arial" w:cs="Arial"/>
        </w:rPr>
      </w:pPr>
      <w:r>
        <w:rPr>
          <w:rFonts w:ascii="Arial" w:hAnsi="Arial" w:cs="Arial"/>
        </w:rPr>
        <w:t xml:space="preserve">This guidance provides information on recommended defaults for marine modelling, including particle tracking of solids and bath medicines. </w:t>
      </w:r>
    </w:p>
    <w:p w14:paraId="02E3628C" w14:textId="77777777" w:rsidR="00EF6C40" w:rsidRDefault="00EF6C40" w:rsidP="00EF6C40">
      <w:pPr>
        <w:rPr>
          <w:rFonts w:ascii="Arial" w:hAnsi="Arial" w:cs="Arial"/>
        </w:rPr>
      </w:pPr>
      <w:r>
        <w:rPr>
          <w:rFonts w:ascii="Arial" w:hAnsi="Arial" w:cs="Arial"/>
        </w:rPr>
        <w:t xml:space="preserve"> Alternative approaches to carrying out marine modelling should be outlined and agreed in an appropriate “Method Statement” and be fully detailed in any modelling report.  </w:t>
      </w:r>
    </w:p>
    <w:p w14:paraId="6848566B" w14:textId="77777777" w:rsidR="00EF6C40" w:rsidRDefault="00EF6C40" w:rsidP="00EF6C40">
      <w:pPr>
        <w:rPr>
          <w:rFonts w:ascii="Arial" w:eastAsia="Arial" w:hAnsi="Arial" w:cs="Arial"/>
          <w:sz w:val="24"/>
          <w:szCs w:val="24"/>
        </w:rPr>
      </w:pPr>
      <w:r>
        <w:rPr>
          <w:rFonts w:ascii="Arial" w:hAnsi="Arial" w:cs="Arial"/>
        </w:rPr>
        <w:t>This guidance provides information on the basic modelling and outputs required. Risks identified from these may trigger the need for additional model output.</w:t>
      </w:r>
    </w:p>
    <w:p w14:paraId="3A28449B" w14:textId="77777777" w:rsidR="00EF6C40" w:rsidRDefault="00EF6C40" w:rsidP="00EF6C40">
      <w:pPr>
        <w:rPr>
          <w:rFonts w:ascii="Arial" w:hAnsi="Arial" w:cs="Arial"/>
        </w:rPr>
      </w:pPr>
      <w:r w:rsidRPr="00C55458">
        <w:rPr>
          <w:rFonts w:ascii="Arial" w:eastAsia="Arial" w:hAnsi="Arial" w:cs="Arial"/>
        </w:rPr>
        <w:t>For more information on the background modelling processes please refer to:</w:t>
      </w:r>
      <w:r w:rsidRPr="15E1BD61">
        <w:rPr>
          <w:rFonts w:ascii="Arial" w:eastAsia="Arial" w:hAnsi="Arial" w:cs="Arial"/>
          <w:sz w:val="24"/>
          <w:szCs w:val="24"/>
        </w:rPr>
        <w:t xml:space="preserve">  </w:t>
      </w:r>
      <w:hyperlink r:id="rId10">
        <w:r w:rsidRPr="00EF6C40">
          <w:rPr>
            <w:rStyle w:val="Hyperlink"/>
            <w:rFonts w:ascii="Arial" w:eastAsia="Arial" w:hAnsi="Arial" w:cs="Arial"/>
            <w:color w:val="auto"/>
          </w:rPr>
          <w:t>Regulatory Modelling Guidance for the Aquaculture Sector</w:t>
        </w:r>
      </w:hyperlink>
      <w:r w:rsidRPr="00EF6C40">
        <w:rPr>
          <w:rFonts w:ascii="Arial" w:eastAsia="Arial" w:hAnsi="Arial" w:cs="Arial"/>
        </w:rPr>
        <w:t xml:space="preserve">: </w:t>
      </w:r>
      <w:r w:rsidRPr="00EF6C40">
        <w:rPr>
          <w:rFonts w:ascii="Arial" w:eastAsia="Arial" w:hAnsi="Arial" w:cs="Arial"/>
          <w:sz w:val="24"/>
          <w:szCs w:val="24"/>
        </w:rPr>
        <w:t xml:space="preserve"> </w:t>
      </w:r>
      <w:r w:rsidRPr="00F40B26">
        <w:rPr>
          <w:rFonts w:ascii="Arial" w:eastAsia="Arial" w:hAnsi="Arial" w:cs="Arial"/>
          <w:color w:val="2F5496" w:themeColor="accent1" w:themeShade="BF"/>
          <w:u w:val="single"/>
        </w:rPr>
        <w:t>https://www.sepa.org.uk/media/450279/regulatory-modelling-guidance-for-the-aquaculture-sector.pdf</w:t>
      </w:r>
      <w:r w:rsidRPr="00F40B26">
        <w:rPr>
          <w:rFonts w:ascii="Arial" w:eastAsia="Arial" w:hAnsi="Arial" w:cs="Arial"/>
          <w:color w:val="3333FF"/>
        </w:rPr>
        <w:t>.</w:t>
      </w:r>
    </w:p>
    <w:p w14:paraId="35DCB0D9" w14:textId="77777777" w:rsidR="00EF6C40" w:rsidRDefault="00EF6C40" w:rsidP="00EF6C40">
      <w:pPr>
        <w:rPr>
          <w:rFonts w:ascii="Arial" w:hAnsi="Arial" w:cs="Arial"/>
        </w:rPr>
      </w:pPr>
    </w:p>
    <w:p w14:paraId="6E7933B2" w14:textId="77777777" w:rsidR="00EF6C40" w:rsidRDefault="00EF6C40" w:rsidP="00EF6C40">
      <w:pPr>
        <w:rPr>
          <w:rFonts w:ascii="Arial" w:hAnsi="Arial" w:cs="Arial"/>
        </w:rPr>
      </w:pPr>
      <w:r>
        <w:rPr>
          <w:rFonts w:ascii="Arial" w:hAnsi="Arial" w:cs="Arial"/>
          <w:u w:val="single"/>
        </w:rPr>
        <w:t xml:space="preserve">Bath Medicine Modelling </w:t>
      </w:r>
    </w:p>
    <w:p w14:paraId="3AC11CB7" w14:textId="4CAA2F7C" w:rsidR="00EF6C40" w:rsidRDefault="00EF6C40" w:rsidP="00EF6C40">
      <w:pPr>
        <w:pStyle w:val="ListParagraph"/>
        <w:numPr>
          <w:ilvl w:val="0"/>
          <w:numId w:val="1"/>
        </w:numPr>
        <w:rPr>
          <w:rFonts w:ascii="Arial" w:hAnsi="Arial" w:cs="Arial"/>
        </w:rPr>
      </w:pPr>
      <w:r w:rsidRPr="32C74732">
        <w:rPr>
          <w:rFonts w:ascii="Arial" w:hAnsi="Arial" w:cs="Arial"/>
        </w:rPr>
        <w:t xml:space="preserve">Model a realistic treatment regime for </w:t>
      </w:r>
      <w:r>
        <w:rPr>
          <w:rFonts w:ascii="Arial" w:hAnsi="Arial" w:cs="Arial"/>
        </w:rPr>
        <w:t>b</w:t>
      </w:r>
      <w:r w:rsidRPr="32C74732">
        <w:rPr>
          <w:rFonts w:ascii="Arial" w:hAnsi="Arial" w:cs="Arial"/>
        </w:rPr>
        <w:t xml:space="preserve">ath medicines (e.g. 4 treatments in 24hrs, with 3hr intervals between treatments). </w:t>
      </w:r>
    </w:p>
    <w:p w14:paraId="15EBC33F" w14:textId="689E90B0" w:rsidR="00471221" w:rsidRPr="000A678B" w:rsidRDefault="00D606BC" w:rsidP="00EF6C40">
      <w:pPr>
        <w:pStyle w:val="ListParagraph"/>
        <w:numPr>
          <w:ilvl w:val="0"/>
          <w:numId w:val="1"/>
        </w:numPr>
        <w:rPr>
          <w:rFonts w:ascii="Arial" w:hAnsi="Arial" w:cs="Arial"/>
        </w:rPr>
      </w:pPr>
      <w:r>
        <w:rPr>
          <w:rFonts w:ascii="Arial" w:hAnsi="Arial" w:cs="Arial"/>
        </w:rPr>
        <w:t xml:space="preserve">In the Screening Report the </w:t>
      </w:r>
      <w:r w:rsidR="001920AD">
        <w:rPr>
          <w:rFonts w:ascii="Arial" w:hAnsi="Arial" w:cs="Arial"/>
        </w:rPr>
        <w:t xml:space="preserve">risk </w:t>
      </w:r>
      <w:r w:rsidR="00E20E65">
        <w:rPr>
          <w:rFonts w:ascii="Arial" w:hAnsi="Arial" w:cs="Arial"/>
        </w:rPr>
        <w:t xml:space="preserve">to the wider environment is </w:t>
      </w:r>
      <w:r w:rsidR="005A2A31">
        <w:rPr>
          <w:rFonts w:ascii="Arial" w:hAnsi="Arial" w:cs="Arial"/>
        </w:rPr>
        <w:t>assessed and</w:t>
      </w:r>
      <w:r w:rsidR="002D6252">
        <w:rPr>
          <w:rFonts w:ascii="Arial" w:hAnsi="Arial" w:cs="Arial"/>
        </w:rPr>
        <w:t xml:space="preserve"> should the </w:t>
      </w:r>
      <w:r w:rsidR="0065383B">
        <w:rPr>
          <w:rFonts w:ascii="Arial" w:hAnsi="Arial" w:cs="Arial"/>
        </w:rPr>
        <w:t>discharge</w:t>
      </w:r>
      <w:r w:rsidR="00577481">
        <w:rPr>
          <w:rFonts w:ascii="Arial" w:hAnsi="Arial" w:cs="Arial"/>
        </w:rPr>
        <w:t>s</w:t>
      </w:r>
      <w:r w:rsidR="002D6252">
        <w:rPr>
          <w:rFonts w:ascii="Arial" w:hAnsi="Arial" w:cs="Arial"/>
        </w:rPr>
        <w:t xml:space="preserve"> from multiple farms be identified as a risk</w:t>
      </w:r>
      <w:r w:rsidR="00E20E65">
        <w:rPr>
          <w:rFonts w:ascii="Arial" w:hAnsi="Arial" w:cs="Arial"/>
        </w:rPr>
        <w:t xml:space="preserve"> </w:t>
      </w:r>
      <w:r w:rsidR="006607DA">
        <w:rPr>
          <w:rFonts w:ascii="Arial" w:hAnsi="Arial" w:cs="Arial"/>
        </w:rPr>
        <w:t>SEPA may ask for mul</w:t>
      </w:r>
      <w:r w:rsidR="00087099">
        <w:rPr>
          <w:rFonts w:ascii="Arial" w:hAnsi="Arial" w:cs="Arial"/>
        </w:rPr>
        <w:t>t</w:t>
      </w:r>
      <w:r w:rsidR="006607DA">
        <w:rPr>
          <w:rFonts w:ascii="Arial" w:hAnsi="Arial" w:cs="Arial"/>
        </w:rPr>
        <w:t>i</w:t>
      </w:r>
      <w:r w:rsidR="00471221" w:rsidRPr="00471221">
        <w:rPr>
          <w:rFonts w:ascii="Arial" w:hAnsi="Arial" w:cs="Arial"/>
        </w:rPr>
        <w:t xml:space="preserve">ple farms be included in the </w:t>
      </w:r>
      <w:r w:rsidR="00087099">
        <w:rPr>
          <w:rFonts w:ascii="Arial" w:hAnsi="Arial" w:cs="Arial"/>
        </w:rPr>
        <w:t xml:space="preserve">Marine </w:t>
      </w:r>
      <w:r w:rsidR="00471221" w:rsidRPr="00471221">
        <w:rPr>
          <w:rFonts w:ascii="Arial" w:hAnsi="Arial" w:cs="Arial"/>
        </w:rPr>
        <w:t>modelling</w:t>
      </w:r>
      <w:r w:rsidR="0065383B">
        <w:rPr>
          <w:rFonts w:ascii="Arial" w:hAnsi="Arial" w:cs="Arial"/>
        </w:rPr>
        <w:t>.</w:t>
      </w:r>
      <w:r w:rsidR="00A0734C">
        <w:rPr>
          <w:rFonts w:ascii="Arial" w:hAnsi="Arial" w:cs="Arial"/>
        </w:rPr>
        <w:t xml:space="preserve"> Generally, farms are assessed on their individual discharges</w:t>
      </w:r>
      <w:r w:rsidR="0081411E">
        <w:rPr>
          <w:rFonts w:ascii="Arial" w:hAnsi="Arial" w:cs="Arial"/>
        </w:rPr>
        <w:t xml:space="preserve"> though</w:t>
      </w:r>
      <w:r w:rsidR="00A0734C">
        <w:rPr>
          <w:rFonts w:ascii="Arial" w:hAnsi="Arial" w:cs="Arial"/>
        </w:rPr>
        <w:t xml:space="preserve">. </w:t>
      </w:r>
    </w:p>
    <w:p w14:paraId="087B1BB5" w14:textId="77777777" w:rsidR="00EF6C40" w:rsidRDefault="00EF6C40" w:rsidP="00EF6C40">
      <w:pPr>
        <w:pStyle w:val="ListParagraph"/>
        <w:numPr>
          <w:ilvl w:val="0"/>
          <w:numId w:val="1"/>
        </w:numPr>
        <w:rPr>
          <w:rFonts w:ascii="Arial" w:hAnsi="Arial" w:cs="Arial"/>
        </w:rPr>
      </w:pPr>
      <w:r w:rsidRPr="36376DC9">
        <w:rPr>
          <w:rFonts w:ascii="Arial" w:hAnsi="Arial" w:cs="Arial"/>
        </w:rPr>
        <w:t xml:space="preserve">Include a run-up period for the hydrodynamics. Once stable, particles can be added. </w:t>
      </w:r>
    </w:p>
    <w:p w14:paraId="75E2B40F" w14:textId="77777777" w:rsidR="00EF6C40" w:rsidRDefault="00EF6C40" w:rsidP="00EF6C40">
      <w:pPr>
        <w:pStyle w:val="ListParagraph"/>
        <w:numPr>
          <w:ilvl w:val="0"/>
          <w:numId w:val="1"/>
        </w:numPr>
        <w:rPr>
          <w:rFonts w:ascii="Arial" w:eastAsia="Arial" w:hAnsi="Arial" w:cs="Arial"/>
        </w:rPr>
      </w:pPr>
      <w:r w:rsidRPr="00C55458">
        <w:rPr>
          <w:rFonts w:ascii="Arial" w:eastAsia="Arial" w:hAnsi="Arial" w:cs="Arial"/>
        </w:rPr>
        <w:t>Calibration: In</w:t>
      </w:r>
      <w:r w:rsidRPr="00C55458">
        <w:rPr>
          <w:rFonts w:ascii="Arial" w:eastAsia="Arial" w:hAnsi="Arial" w:cs="Arial"/>
          <w:color w:val="DCDDDE"/>
        </w:rPr>
        <w:t xml:space="preserve"> </w:t>
      </w:r>
      <w:r w:rsidRPr="00C55458">
        <w:rPr>
          <w:rFonts w:ascii="Arial" w:eastAsia="Arial" w:hAnsi="Arial" w:cs="Arial"/>
        </w:rPr>
        <w:t xml:space="preserve">most cases </w:t>
      </w:r>
      <w:r w:rsidRPr="26911FDE">
        <w:rPr>
          <w:rFonts w:ascii="Arial" w:eastAsia="Arial" w:hAnsi="Arial" w:cs="Arial"/>
        </w:rPr>
        <w:t xml:space="preserve">the model should be calibrated with </w:t>
      </w:r>
      <w:r w:rsidRPr="00C55458">
        <w:rPr>
          <w:rFonts w:ascii="Arial" w:eastAsia="Arial" w:hAnsi="Arial" w:cs="Arial"/>
        </w:rPr>
        <w:t xml:space="preserve">dye </w:t>
      </w:r>
      <w:r>
        <w:rPr>
          <w:rFonts w:ascii="Arial" w:eastAsia="Arial" w:hAnsi="Arial" w:cs="Arial"/>
        </w:rPr>
        <w:t xml:space="preserve">and/ </w:t>
      </w:r>
      <w:r w:rsidRPr="00C55458">
        <w:rPr>
          <w:rFonts w:ascii="Arial" w:eastAsia="Arial" w:hAnsi="Arial" w:cs="Arial"/>
        </w:rPr>
        <w:t>or drogue data</w:t>
      </w:r>
      <w:r w:rsidRPr="26911FDE">
        <w:rPr>
          <w:rFonts w:ascii="Arial" w:eastAsia="Arial" w:hAnsi="Arial" w:cs="Arial"/>
        </w:rPr>
        <w:t>.</w:t>
      </w:r>
      <w:r w:rsidRPr="005C2C93">
        <w:t xml:space="preserve"> </w:t>
      </w:r>
      <w:r>
        <w:rPr>
          <w:rFonts w:ascii="Arial" w:eastAsia="Arial" w:hAnsi="Arial" w:cs="Arial"/>
        </w:rPr>
        <w:t>SEPA</w:t>
      </w:r>
      <w:r w:rsidRPr="005C2C93">
        <w:rPr>
          <w:rFonts w:ascii="Arial" w:eastAsia="Arial" w:hAnsi="Arial" w:cs="Arial"/>
        </w:rPr>
        <w:t xml:space="preserve"> recommend</w:t>
      </w:r>
      <w:r>
        <w:rPr>
          <w:rFonts w:ascii="Arial" w:eastAsia="Arial" w:hAnsi="Arial" w:cs="Arial"/>
        </w:rPr>
        <w:t>s</w:t>
      </w:r>
      <w:r w:rsidRPr="005C2C93">
        <w:rPr>
          <w:rFonts w:ascii="Arial" w:eastAsia="Arial" w:hAnsi="Arial" w:cs="Arial"/>
        </w:rPr>
        <w:t xml:space="preserve"> that dye data are collected in such a way as to allow the comparison of a monitored dye patch with a modelled patch, alongside the calculation of a measure dispersion coefficient. Drogue data are particularly useful in assessing the accuracy of the modelled transport of waste over longer distances, particularly where this influences sensitive features.</w:t>
      </w:r>
    </w:p>
    <w:p w14:paraId="1522A454" w14:textId="77777777" w:rsidR="00EF6C40" w:rsidRDefault="00EF6C40" w:rsidP="00EF6C40">
      <w:pPr>
        <w:pStyle w:val="ListParagraph"/>
        <w:numPr>
          <w:ilvl w:val="0"/>
          <w:numId w:val="1"/>
        </w:numPr>
        <w:rPr>
          <w:rFonts w:ascii="Arial" w:hAnsi="Arial" w:cs="Arial"/>
        </w:rPr>
      </w:pPr>
      <w:r w:rsidRPr="32C74732">
        <w:rPr>
          <w:rFonts w:ascii="Arial" w:hAnsi="Arial" w:cs="Arial"/>
        </w:rPr>
        <w:t xml:space="preserve">Bath particle parameters should be consistent with those used in calibration runs. </w:t>
      </w:r>
    </w:p>
    <w:p w14:paraId="6D06EE2C" w14:textId="77777777" w:rsidR="00EF6C40" w:rsidRPr="00C55458" w:rsidRDefault="00EF6C40" w:rsidP="00EF6C40">
      <w:pPr>
        <w:pStyle w:val="ListParagraph"/>
        <w:numPr>
          <w:ilvl w:val="0"/>
          <w:numId w:val="1"/>
        </w:numPr>
        <w:rPr>
          <w:rFonts w:ascii="Arial" w:eastAsia="Calibri" w:hAnsi="Arial" w:cs="Arial"/>
          <w:color w:val="000000" w:themeColor="text1"/>
        </w:rPr>
      </w:pPr>
      <w:r w:rsidRPr="00C55458">
        <w:rPr>
          <w:rFonts w:ascii="Arial" w:hAnsi="Arial" w:cs="Arial"/>
        </w:rPr>
        <w:t>Length of model runs: The model should be run for each chemical applied for according to the EQSs specified in tables G-1 to G-3 following the final treatment plus an additional 24 hrs to account for concentration peaks. O</w:t>
      </w:r>
      <w:r w:rsidRPr="00C55458">
        <w:rPr>
          <w:rFonts w:ascii="Arial" w:hAnsi="Arial" w:cs="Arial"/>
          <w:color w:val="000000" w:themeColor="text1"/>
        </w:rPr>
        <w:t xml:space="preserve">utput is required </w:t>
      </w:r>
      <w:r w:rsidRPr="00C55458">
        <w:rPr>
          <w:rFonts w:ascii="Arial" w:hAnsi="Arial" w:cs="Arial"/>
        </w:rPr>
        <w:t xml:space="preserve">for the whole time period starting from the beginning of treatment. </w:t>
      </w:r>
    </w:p>
    <w:p w14:paraId="3DEC0F03" w14:textId="77777777" w:rsidR="00EF6C40" w:rsidRDefault="00EF6C40" w:rsidP="00EF6C40">
      <w:pPr>
        <w:pStyle w:val="ListParagraph"/>
        <w:numPr>
          <w:ilvl w:val="0"/>
          <w:numId w:val="1"/>
        </w:numPr>
        <w:rPr>
          <w:rFonts w:ascii="Arial" w:hAnsi="Arial" w:cs="Arial"/>
        </w:rPr>
      </w:pPr>
      <w:r w:rsidRPr="32C74732">
        <w:rPr>
          <w:rFonts w:ascii="Arial" w:hAnsi="Arial" w:cs="Arial"/>
        </w:rPr>
        <w:t xml:space="preserve">Runs should be undertaken during a period of Spring tides and a period of Neap tides, to ensure the most conservative area and concentration are captured. </w:t>
      </w:r>
    </w:p>
    <w:p w14:paraId="3C056FC4" w14:textId="5D2C734C" w:rsidR="009B27FD" w:rsidRPr="009B27FD" w:rsidRDefault="009B27FD" w:rsidP="009B27FD">
      <w:pPr>
        <w:pStyle w:val="ListParagraph"/>
        <w:numPr>
          <w:ilvl w:val="0"/>
          <w:numId w:val="1"/>
        </w:numPr>
        <w:suppressAutoHyphens w:val="0"/>
        <w:spacing w:after="0" w:line="240" w:lineRule="auto"/>
        <w:rPr>
          <w:rFonts w:ascii="Segoe UI" w:eastAsia="Times New Roman" w:hAnsi="Segoe UI" w:cs="Segoe UI"/>
          <w:sz w:val="21"/>
          <w:szCs w:val="21"/>
          <w:lang w:eastAsia="en-GB"/>
        </w:rPr>
      </w:pPr>
      <w:r w:rsidRPr="009B27FD">
        <w:rPr>
          <w:rFonts w:ascii="Arial" w:eastAsia="Times New Roman" w:hAnsi="Arial" w:cs="Arial"/>
          <w:lang w:eastAsia="en-GB"/>
        </w:rPr>
        <w:t>Decay: For Azamethiphos a decay rate of 8.6 days may be applied to the particles. Cypermethrin and Deltamethrin should be modelled without decay. (Nt. The decay rate for Azamethiphos has been updated to 5.6 days as of the October 2020 revision to DEFRA SPC guidance.)</w:t>
      </w:r>
    </w:p>
    <w:p w14:paraId="0D5022B9" w14:textId="77777777" w:rsidR="009B27FD" w:rsidRPr="009B27FD" w:rsidRDefault="009B27FD" w:rsidP="009B27FD">
      <w:pPr>
        <w:suppressAutoHyphens w:val="0"/>
        <w:spacing w:after="0" w:line="240" w:lineRule="auto"/>
        <w:rPr>
          <w:rFonts w:ascii="Segoe UI" w:eastAsia="Times New Roman" w:hAnsi="Segoe UI" w:cs="Segoe UI"/>
          <w:sz w:val="21"/>
          <w:szCs w:val="21"/>
          <w:lang w:eastAsia="en-GB"/>
        </w:rPr>
      </w:pPr>
    </w:p>
    <w:p w14:paraId="0A2261E0" w14:textId="77777777" w:rsidR="00F40B26" w:rsidRPr="00DC3932" w:rsidRDefault="00EF6C40" w:rsidP="00BD1C76">
      <w:pPr>
        <w:numPr>
          <w:ilvl w:val="0"/>
          <w:numId w:val="1"/>
        </w:numPr>
        <w:suppressAutoHyphens w:val="0"/>
        <w:spacing w:after="0" w:line="240" w:lineRule="auto"/>
        <w:rPr>
          <w:rFonts w:eastAsia="Times New Roman" w:cs="Calibri"/>
          <w:color w:val="C00000"/>
          <w:lang w:eastAsia="en-US"/>
        </w:rPr>
      </w:pPr>
      <w:r w:rsidRPr="00BD1C76">
        <w:rPr>
          <w:rFonts w:ascii="Arial" w:hAnsi="Arial" w:cs="Arial"/>
        </w:rPr>
        <w:t xml:space="preserve">Bath particles in the top 3m of the water column (or consistent with net depths at treatment, if shallower), should be considered in the output. </w:t>
      </w:r>
    </w:p>
    <w:p w14:paraId="64119482" w14:textId="77777777" w:rsidR="00F40B26" w:rsidRDefault="00F40B26" w:rsidP="00DC3932">
      <w:pPr>
        <w:pStyle w:val="ListParagraph"/>
        <w:rPr>
          <w:rFonts w:ascii="Arial" w:hAnsi="Arial" w:cs="Arial"/>
        </w:rPr>
      </w:pPr>
    </w:p>
    <w:p w14:paraId="1378E199" w14:textId="39B905DA" w:rsidR="002D2C38" w:rsidRPr="002C337B" w:rsidRDefault="000E16EE" w:rsidP="00BD1C76">
      <w:pPr>
        <w:numPr>
          <w:ilvl w:val="0"/>
          <w:numId w:val="1"/>
        </w:numPr>
        <w:suppressAutoHyphens w:val="0"/>
        <w:spacing w:after="0" w:line="240" w:lineRule="auto"/>
        <w:rPr>
          <w:rStyle w:val="Hyperlink"/>
          <w:rFonts w:eastAsia="Times New Roman" w:cs="Calibri"/>
          <w:color w:val="C00000"/>
          <w:u w:val="none"/>
          <w:lang w:eastAsia="en-US"/>
        </w:rPr>
      </w:pPr>
      <w:r w:rsidRPr="007A4101">
        <w:rPr>
          <w:rFonts w:ascii="Arial" w:hAnsi="Arial" w:cs="Arial"/>
        </w:rPr>
        <w:lastRenderedPageBreak/>
        <w:t xml:space="preserve">To assess </w:t>
      </w:r>
      <w:r w:rsidR="00DE2F30">
        <w:rPr>
          <w:rFonts w:ascii="Arial" w:hAnsi="Arial" w:cs="Arial"/>
        </w:rPr>
        <w:t>compliance</w:t>
      </w:r>
      <w:r w:rsidRPr="007A4101">
        <w:rPr>
          <w:rFonts w:ascii="Arial" w:hAnsi="Arial" w:cs="Arial"/>
        </w:rPr>
        <w:t xml:space="preserve"> </w:t>
      </w:r>
      <w:r w:rsidR="00DE2F30">
        <w:rPr>
          <w:rFonts w:ascii="Arial" w:hAnsi="Arial" w:cs="Arial"/>
        </w:rPr>
        <w:t xml:space="preserve">for </w:t>
      </w:r>
      <w:r w:rsidR="0010763D" w:rsidRPr="007A4101">
        <w:rPr>
          <w:rFonts w:ascii="Arial" w:hAnsi="Arial" w:cs="Arial"/>
        </w:rPr>
        <w:t>Azamethiphos</w:t>
      </w:r>
      <w:r w:rsidR="00DE2F30">
        <w:rPr>
          <w:rFonts w:ascii="Arial" w:hAnsi="Arial" w:cs="Arial"/>
        </w:rPr>
        <w:t xml:space="preserve"> after 3hrs</w:t>
      </w:r>
      <w:r w:rsidRPr="007A4101">
        <w:rPr>
          <w:rFonts w:ascii="Arial" w:hAnsi="Arial" w:cs="Arial"/>
        </w:rPr>
        <w:t>, a single release of the 3hr mass should be modelled. A realistic mass should be used, but</w:t>
      </w:r>
      <w:r w:rsidR="0010763D" w:rsidRPr="007A4101">
        <w:rPr>
          <w:rFonts w:ascii="Arial" w:hAnsi="Arial" w:cs="Arial"/>
        </w:rPr>
        <w:t xml:space="preserve"> a</w:t>
      </w:r>
      <w:r w:rsidRPr="007A4101">
        <w:rPr>
          <w:rFonts w:ascii="Arial" w:hAnsi="Arial" w:cs="Arial"/>
        </w:rPr>
        <w:t xml:space="preserve"> passing mass from the short term BathAuto model can be used </w:t>
      </w:r>
      <w:r w:rsidR="00BB39C8" w:rsidRPr="007A4101">
        <w:rPr>
          <w:rFonts w:ascii="Arial" w:hAnsi="Arial" w:cs="Arial"/>
        </w:rPr>
        <w:t xml:space="preserve">as </w:t>
      </w:r>
      <w:r w:rsidRPr="007A4101">
        <w:rPr>
          <w:rFonts w:ascii="Arial" w:hAnsi="Arial" w:cs="Arial"/>
        </w:rPr>
        <w:t xml:space="preserve">a guide to </w:t>
      </w:r>
      <w:r w:rsidR="001C23B9" w:rsidRPr="007A4101">
        <w:rPr>
          <w:rFonts w:ascii="Arial" w:hAnsi="Arial" w:cs="Arial"/>
        </w:rPr>
        <w:t xml:space="preserve">obtain </w:t>
      </w:r>
      <w:r w:rsidRPr="007A4101">
        <w:rPr>
          <w:rFonts w:ascii="Arial" w:hAnsi="Arial" w:cs="Arial"/>
        </w:rPr>
        <w:t>a likely treatment mass</w:t>
      </w:r>
      <w:r w:rsidR="007A4101" w:rsidRPr="007A4101">
        <w:rPr>
          <w:rFonts w:ascii="Arial" w:hAnsi="Arial" w:cs="Arial"/>
        </w:rPr>
        <w:t>,</w:t>
      </w:r>
      <w:r w:rsidRPr="007A4101">
        <w:rPr>
          <w:rFonts w:ascii="Arial" w:hAnsi="Arial" w:cs="Arial"/>
        </w:rPr>
        <w:t xml:space="preserve"> which can be supported by conditions at the site. </w:t>
      </w:r>
      <w:r w:rsidR="00AF2D52">
        <w:rPr>
          <w:rFonts w:ascii="Arial" w:hAnsi="Arial" w:cs="Arial"/>
        </w:rPr>
        <w:t>A</w:t>
      </w:r>
      <w:r w:rsidRPr="007A4101">
        <w:rPr>
          <w:rFonts w:ascii="Arial" w:hAnsi="Arial" w:cs="Arial"/>
        </w:rPr>
        <w:t xml:space="preserve"> plot showing the area above the 250ng/l will be required. Lines should be added to demonstrate the time 3hrs after the first treatment, and the allowed mixing zone area established using BathAuto. </w:t>
      </w:r>
      <w:r w:rsidR="004474A3" w:rsidRPr="007A4101">
        <w:rPr>
          <w:rFonts w:ascii="Arial" w:hAnsi="Arial" w:cs="Arial"/>
        </w:rPr>
        <w:t xml:space="preserve">The </w:t>
      </w:r>
      <w:r w:rsidRPr="007A4101">
        <w:rPr>
          <w:rFonts w:ascii="Arial" w:hAnsi="Arial" w:cs="Arial"/>
        </w:rPr>
        <w:t xml:space="preserve">BathAuto </w:t>
      </w:r>
      <w:r w:rsidR="00C61EC1" w:rsidRPr="007A4101">
        <w:rPr>
          <w:rFonts w:ascii="Arial" w:hAnsi="Arial" w:cs="Arial"/>
        </w:rPr>
        <w:t>m</w:t>
      </w:r>
      <w:r w:rsidR="004474A3" w:rsidRPr="007A4101">
        <w:rPr>
          <w:rFonts w:ascii="Arial" w:hAnsi="Arial" w:cs="Arial"/>
        </w:rPr>
        <w:t>ixing zone ellipse is calculated from the mean surface speed,</w:t>
      </w:r>
      <w:r w:rsidR="00DA561D" w:rsidRPr="007A4101">
        <w:rPr>
          <w:rFonts w:ascii="Arial" w:hAnsi="Arial" w:cs="Arial"/>
        </w:rPr>
        <w:t xml:space="preserve"> </w:t>
      </w:r>
      <w:r w:rsidR="004474A3" w:rsidRPr="007A4101">
        <w:rPr>
          <w:rFonts w:ascii="Arial" w:hAnsi="Arial" w:cs="Arial"/>
        </w:rPr>
        <w:t xml:space="preserve">see Annex-G: </w:t>
      </w:r>
      <w:hyperlink r:id="rId11" w:history="1">
        <w:r w:rsidR="004474A3" w:rsidRPr="000E16EE">
          <w:rPr>
            <w:rStyle w:val="Hyperlink"/>
            <w:rFonts w:ascii="Arial" w:hAnsi="Arial" w:cs="Arial"/>
          </w:rPr>
          <w:t>https://www.sepa.org.uk/media/113498/fish-farm-manual-annex-g.pdf</w:t>
        </w:r>
      </w:hyperlink>
    </w:p>
    <w:p w14:paraId="1F736661" w14:textId="77777777" w:rsidR="002D2C38" w:rsidRDefault="002D2C38" w:rsidP="002C337B">
      <w:pPr>
        <w:pStyle w:val="ListParagraph"/>
        <w:rPr>
          <w:rFonts w:eastAsia="Times New Roman"/>
          <w:color w:val="C00000"/>
        </w:rPr>
      </w:pPr>
    </w:p>
    <w:p w14:paraId="3FBF9473" w14:textId="29A9330D" w:rsidR="00BD1C76" w:rsidRPr="00960DA8" w:rsidRDefault="00BD1C76" w:rsidP="00BD1C76">
      <w:pPr>
        <w:numPr>
          <w:ilvl w:val="0"/>
          <w:numId w:val="1"/>
        </w:numPr>
        <w:suppressAutoHyphens w:val="0"/>
        <w:spacing w:after="0" w:line="240" w:lineRule="auto"/>
        <w:rPr>
          <w:rFonts w:ascii="Arial" w:eastAsia="Times New Roman" w:hAnsi="Arial" w:cs="Arial"/>
          <w:lang w:eastAsia="en-US"/>
        </w:rPr>
      </w:pPr>
      <w:r w:rsidRPr="00960DA8">
        <w:rPr>
          <w:rFonts w:ascii="Arial" w:eastAsia="Times New Roman" w:hAnsi="Arial" w:cs="Arial"/>
        </w:rPr>
        <w:t xml:space="preserve">To assess the long-term risks from Azamethiphos, a realistic treatment regime should be modelled. </w:t>
      </w:r>
      <w:r w:rsidR="00C71043">
        <w:rPr>
          <w:rFonts w:ascii="Arial" w:eastAsia="Times New Roman" w:hAnsi="Arial" w:cs="Arial"/>
        </w:rPr>
        <w:t>A</w:t>
      </w:r>
      <w:r w:rsidRPr="00960DA8">
        <w:rPr>
          <w:rFonts w:ascii="Arial" w:eastAsia="Times New Roman" w:hAnsi="Arial" w:cs="Arial"/>
        </w:rPr>
        <w:t xml:space="preserve"> plot showing the area above 40ng/l will be required. Lines should be added to demonstrate the 72hrs after final treatment and the allowed mixing zone area of 0.5km</w:t>
      </w:r>
      <w:r w:rsidRPr="00960DA8">
        <w:rPr>
          <w:rFonts w:ascii="Arial" w:eastAsia="Times New Roman" w:hAnsi="Arial" w:cs="Arial"/>
          <w:vertAlign w:val="superscript"/>
        </w:rPr>
        <w:t>2</w:t>
      </w:r>
      <w:r w:rsidRPr="00960DA8">
        <w:rPr>
          <w:rFonts w:ascii="Arial" w:eastAsia="Times New Roman" w:hAnsi="Arial" w:cs="Arial"/>
        </w:rPr>
        <w:t xml:space="preserve">. </w:t>
      </w:r>
    </w:p>
    <w:p w14:paraId="45D5AB28" w14:textId="77777777" w:rsidR="00B74CBD" w:rsidRPr="00BD1C76" w:rsidRDefault="00B74CBD" w:rsidP="00960DA8">
      <w:pPr>
        <w:rPr>
          <w:rFonts w:ascii="Arial" w:hAnsi="Arial" w:cs="Arial"/>
          <w:color w:val="FF0000"/>
        </w:rPr>
      </w:pPr>
    </w:p>
    <w:p w14:paraId="6D99F194" w14:textId="1FF2C891" w:rsidR="00B74CBD" w:rsidRPr="00BD1C76" w:rsidRDefault="00B05740" w:rsidP="00B3589B">
      <w:pPr>
        <w:pStyle w:val="ListParagraph"/>
        <w:numPr>
          <w:ilvl w:val="0"/>
          <w:numId w:val="1"/>
        </w:numPr>
        <w:rPr>
          <w:rFonts w:ascii="Arial" w:hAnsi="Arial" w:cs="Arial"/>
        </w:rPr>
      </w:pPr>
      <w:r w:rsidRPr="00B3589B">
        <w:rPr>
          <w:rFonts w:ascii="Arial" w:hAnsi="Arial" w:cs="Arial"/>
        </w:rPr>
        <w:t>To assess</w:t>
      </w:r>
      <w:r w:rsidR="00855595" w:rsidRPr="00B3589B">
        <w:rPr>
          <w:rFonts w:ascii="Arial" w:hAnsi="Arial" w:cs="Arial"/>
        </w:rPr>
        <w:t xml:space="preserve"> c</w:t>
      </w:r>
      <w:r w:rsidR="00B74CBD" w:rsidRPr="00B3589B">
        <w:rPr>
          <w:rFonts w:ascii="Arial" w:hAnsi="Arial" w:cs="Arial"/>
        </w:rPr>
        <w:t xml:space="preserve">ompliance for Cypermethrin and Deltamethrin </w:t>
      </w:r>
      <w:r w:rsidR="00C07D56" w:rsidRPr="00B3589B">
        <w:rPr>
          <w:rFonts w:ascii="Arial" w:hAnsi="Arial" w:cs="Arial"/>
        </w:rPr>
        <w:t>after 6hrs</w:t>
      </w:r>
      <w:r w:rsidR="008E3910" w:rsidRPr="00B3589B">
        <w:rPr>
          <w:rFonts w:ascii="Arial" w:hAnsi="Arial" w:cs="Arial"/>
        </w:rPr>
        <w:t xml:space="preserve">, a single release of the </w:t>
      </w:r>
      <w:r w:rsidR="00C83E8B">
        <w:rPr>
          <w:rFonts w:ascii="Arial" w:hAnsi="Arial" w:cs="Arial"/>
        </w:rPr>
        <w:t>6</w:t>
      </w:r>
      <w:r w:rsidR="008E3910" w:rsidRPr="00B3589B">
        <w:rPr>
          <w:rFonts w:ascii="Arial" w:hAnsi="Arial" w:cs="Arial"/>
        </w:rPr>
        <w:t xml:space="preserve">hr mass should be modelled. A realistic mass should be used, but a passing mass from the short term BathAuto model can be used as a guide to obtain a likely treatment mass, which can be supported by conditions at the site. A plot showing the area above </w:t>
      </w:r>
      <w:r w:rsidR="00B3589B" w:rsidRPr="00B3589B">
        <w:rPr>
          <w:rFonts w:ascii="Arial" w:hAnsi="Arial" w:cs="Arial"/>
        </w:rPr>
        <w:t xml:space="preserve">16ng/l for Cypermethrin and 6ng/l for Deltamethrin will be required. Lines should be added to demonstrate the time 6hrs after the first treatment, and the allowed mixing zone area established using BathAuto. The BathAuto mixing zone ellipse is calculated from the mean surface </w:t>
      </w:r>
      <w:r w:rsidR="00B3589B" w:rsidRPr="000E0A46">
        <w:rPr>
          <w:rFonts w:ascii="Arial" w:hAnsi="Arial" w:cs="Arial"/>
        </w:rPr>
        <w:t>speed</w:t>
      </w:r>
      <w:r w:rsidR="00AF2D52" w:rsidRPr="00960DA8">
        <w:rPr>
          <w:rFonts w:ascii="Arial" w:hAnsi="Arial" w:cs="Arial"/>
        </w:rPr>
        <w:t xml:space="preserve">, see Annex-G: </w:t>
      </w:r>
      <w:hyperlink r:id="rId12" w:history="1">
        <w:r w:rsidR="00AF2D52" w:rsidRPr="00B3589B">
          <w:rPr>
            <w:rStyle w:val="Hyperlink"/>
            <w:rFonts w:ascii="Arial" w:hAnsi="Arial" w:cs="Arial"/>
          </w:rPr>
          <w:t>https://www.sepa.org.uk/media/113498/fish-farm-manual-annex-g.pdf</w:t>
        </w:r>
      </w:hyperlink>
      <w:r w:rsidR="000123FC" w:rsidRPr="00BD1C76">
        <w:rPr>
          <w:rFonts w:ascii="Arial" w:hAnsi="Arial" w:cs="Arial"/>
        </w:rPr>
        <w:t xml:space="preserve"> </w:t>
      </w:r>
    </w:p>
    <w:p w14:paraId="0C464731" w14:textId="77777777" w:rsidR="00DA561D" w:rsidRPr="00DA561D" w:rsidRDefault="00DA561D" w:rsidP="00DA561D">
      <w:pPr>
        <w:pStyle w:val="ListParagraph"/>
        <w:rPr>
          <w:rFonts w:ascii="Arial" w:hAnsi="Arial" w:cs="Arial"/>
          <w:color w:val="FF0000"/>
        </w:rPr>
      </w:pPr>
    </w:p>
    <w:p w14:paraId="22CF10AB" w14:textId="77777777" w:rsidR="00DA561D" w:rsidRDefault="00DA561D" w:rsidP="00DA561D">
      <w:pPr>
        <w:pStyle w:val="ListParagraph"/>
        <w:rPr>
          <w:rFonts w:ascii="Arial" w:eastAsia="Arial" w:hAnsi="Arial" w:cs="Arial"/>
        </w:rPr>
      </w:pPr>
    </w:p>
    <w:p w14:paraId="6943488C" w14:textId="77777777" w:rsidR="00EF6C40" w:rsidRDefault="00EF6C40" w:rsidP="00EF6C40">
      <w:pPr>
        <w:pStyle w:val="ListParagraph"/>
        <w:numPr>
          <w:ilvl w:val="0"/>
          <w:numId w:val="1"/>
        </w:numPr>
        <w:rPr>
          <w:rFonts w:ascii="Arial" w:eastAsia="Arial" w:hAnsi="Arial" w:cs="Arial"/>
        </w:rPr>
      </w:pPr>
      <w:r w:rsidRPr="32C74732">
        <w:rPr>
          <w:rFonts w:ascii="Arial" w:eastAsia="Arial" w:hAnsi="Arial" w:cs="Arial"/>
        </w:rPr>
        <w:t>Output should include:</w:t>
      </w:r>
    </w:p>
    <w:p w14:paraId="5543156C" w14:textId="79ED69B5" w:rsidR="00EF6C40" w:rsidRDefault="00EF6C40" w:rsidP="00EF6C40">
      <w:pPr>
        <w:pStyle w:val="ListParagraph"/>
        <w:numPr>
          <w:ilvl w:val="1"/>
          <w:numId w:val="1"/>
        </w:numPr>
        <w:rPr>
          <w:rFonts w:ascii="Arial" w:eastAsia="Arial" w:hAnsi="Arial" w:cs="Arial"/>
        </w:rPr>
      </w:pPr>
      <w:r>
        <w:rPr>
          <w:rFonts w:ascii="Arial" w:eastAsia="Arial" w:hAnsi="Arial" w:cs="Arial"/>
        </w:rPr>
        <w:t>Plots at each of the EQS times to demonstrate extent, concentrations and interactions between plume</w:t>
      </w:r>
      <w:r w:rsidR="0019439A">
        <w:rPr>
          <w:rFonts w:ascii="Arial" w:eastAsia="Arial" w:hAnsi="Arial" w:cs="Arial"/>
        </w:rPr>
        <w:t xml:space="preserve">s </w:t>
      </w:r>
      <w:r w:rsidR="009D3D89">
        <w:rPr>
          <w:rFonts w:ascii="Arial" w:eastAsia="Arial" w:hAnsi="Arial" w:cs="Arial"/>
        </w:rPr>
        <w:t xml:space="preserve">of </w:t>
      </w:r>
      <w:r w:rsidR="002916AE">
        <w:rPr>
          <w:rFonts w:ascii="Arial" w:eastAsia="Arial" w:hAnsi="Arial" w:cs="Arial"/>
        </w:rPr>
        <w:t>the assessed farm and</w:t>
      </w:r>
      <w:r w:rsidR="00B1719E">
        <w:rPr>
          <w:rFonts w:ascii="Arial" w:eastAsia="Arial" w:hAnsi="Arial" w:cs="Arial"/>
        </w:rPr>
        <w:t xml:space="preserve"> other</w:t>
      </w:r>
      <w:r w:rsidR="0019439A">
        <w:rPr>
          <w:rFonts w:ascii="Arial" w:eastAsia="Arial" w:hAnsi="Arial" w:cs="Arial"/>
        </w:rPr>
        <w:t xml:space="preserve"> modelled farms</w:t>
      </w:r>
      <w:r w:rsidR="00654DB1">
        <w:rPr>
          <w:rFonts w:ascii="Arial" w:eastAsia="Arial" w:hAnsi="Arial" w:cs="Arial"/>
        </w:rPr>
        <w:t xml:space="preserve"> (if identified as required)</w:t>
      </w:r>
      <w:r w:rsidR="00B1719E">
        <w:rPr>
          <w:rFonts w:ascii="Arial" w:eastAsia="Arial" w:hAnsi="Arial" w:cs="Arial"/>
        </w:rPr>
        <w:t>.</w:t>
      </w:r>
    </w:p>
    <w:p w14:paraId="0999C606" w14:textId="33528B00" w:rsidR="00EF6C40" w:rsidRDefault="00EF6C40" w:rsidP="00EF6C40">
      <w:pPr>
        <w:pStyle w:val="ListParagraph"/>
        <w:numPr>
          <w:ilvl w:val="1"/>
          <w:numId w:val="1"/>
        </w:numPr>
        <w:rPr>
          <w:rFonts w:ascii="Arial" w:eastAsia="Arial" w:hAnsi="Arial" w:cs="Arial"/>
        </w:rPr>
      </w:pPr>
      <w:r>
        <w:rPr>
          <w:rFonts w:ascii="Arial" w:eastAsia="Arial" w:hAnsi="Arial" w:cs="Arial"/>
        </w:rPr>
        <w:t xml:space="preserve">Time series of maximum concentrations </w:t>
      </w:r>
      <w:r w:rsidR="00AF3927">
        <w:rPr>
          <w:rFonts w:ascii="Arial" w:eastAsia="Arial" w:hAnsi="Arial" w:cs="Arial"/>
        </w:rPr>
        <w:t xml:space="preserve">of </w:t>
      </w:r>
      <w:r w:rsidR="00644007">
        <w:rPr>
          <w:rFonts w:ascii="Arial" w:eastAsia="Arial" w:hAnsi="Arial" w:cs="Arial"/>
        </w:rPr>
        <w:t xml:space="preserve">Azamethiphos </w:t>
      </w:r>
      <w:r>
        <w:rPr>
          <w:rFonts w:ascii="Arial" w:eastAsia="Arial" w:hAnsi="Arial" w:cs="Arial"/>
        </w:rPr>
        <w:t xml:space="preserve">for the entire run period. </w:t>
      </w:r>
    </w:p>
    <w:p w14:paraId="1D0BFA1C" w14:textId="6CF1650B" w:rsidR="004474A3" w:rsidRPr="004474A3" w:rsidRDefault="00EF6C40" w:rsidP="00EF6C40">
      <w:pPr>
        <w:pStyle w:val="ListParagraph"/>
        <w:numPr>
          <w:ilvl w:val="1"/>
          <w:numId w:val="1"/>
        </w:numPr>
        <w:rPr>
          <w:rFonts w:ascii="Arial" w:eastAsia="Arial" w:hAnsi="Arial" w:cs="Arial"/>
          <w:b/>
          <w:bCs/>
          <w:color w:val="000000"/>
          <w:sz w:val="24"/>
          <w:szCs w:val="24"/>
          <w:u w:val="single"/>
        </w:rPr>
      </w:pPr>
      <w:r>
        <w:rPr>
          <w:rFonts w:ascii="Arial" w:eastAsia="Arial" w:hAnsi="Arial" w:cs="Arial"/>
        </w:rPr>
        <w:t>Time series of areal extent at each of the MAC/</w:t>
      </w:r>
      <w:r w:rsidR="00623080">
        <w:rPr>
          <w:rFonts w:ascii="Arial" w:eastAsia="Arial" w:hAnsi="Arial" w:cs="Arial"/>
        </w:rPr>
        <w:t xml:space="preserve"> </w:t>
      </w:r>
      <w:r>
        <w:rPr>
          <w:rFonts w:ascii="Arial" w:eastAsia="Arial" w:hAnsi="Arial" w:cs="Arial"/>
        </w:rPr>
        <w:t>EQS concentration contours</w:t>
      </w:r>
      <w:r w:rsidR="004474A3">
        <w:rPr>
          <w:rFonts w:ascii="Arial" w:eastAsia="Arial" w:hAnsi="Arial" w:cs="Arial"/>
        </w:rPr>
        <w:t>:</w:t>
      </w:r>
      <w:r w:rsidR="00BC4EDE">
        <w:rPr>
          <w:rFonts w:ascii="Arial" w:eastAsia="Arial" w:hAnsi="Arial" w:cs="Arial"/>
        </w:rPr>
        <w:t xml:space="preserve"> </w:t>
      </w:r>
    </w:p>
    <w:p w14:paraId="748A2B33" w14:textId="02491012" w:rsidR="004474A3" w:rsidRPr="004C7E63" w:rsidRDefault="004474A3" w:rsidP="004474A3">
      <w:pPr>
        <w:pStyle w:val="ListParagraph"/>
        <w:numPr>
          <w:ilvl w:val="2"/>
          <w:numId w:val="1"/>
        </w:numPr>
        <w:rPr>
          <w:rFonts w:ascii="Arial" w:eastAsia="Arial" w:hAnsi="Arial" w:cs="Arial"/>
          <w:b/>
          <w:bCs/>
          <w:sz w:val="24"/>
          <w:szCs w:val="24"/>
          <w:u w:val="single"/>
        </w:rPr>
      </w:pPr>
      <w:r w:rsidRPr="004C7E63">
        <w:rPr>
          <w:rFonts w:ascii="Arial" w:eastAsia="Arial" w:hAnsi="Arial" w:cs="Arial"/>
        </w:rPr>
        <w:t xml:space="preserve">3hr Azamethiphos EQS: area of </w:t>
      </w:r>
      <w:r w:rsidR="00BC4EDE" w:rsidRPr="004C7E63">
        <w:rPr>
          <w:rFonts w:ascii="Arial" w:eastAsia="Arial" w:hAnsi="Arial" w:cs="Arial"/>
        </w:rPr>
        <w:t xml:space="preserve">Azamethiphos </w:t>
      </w:r>
      <w:r w:rsidRPr="004C7E63">
        <w:rPr>
          <w:rFonts w:ascii="Arial" w:eastAsia="Arial" w:hAnsi="Arial" w:cs="Arial"/>
        </w:rPr>
        <w:t xml:space="preserve">concentration </w:t>
      </w:r>
      <w:r w:rsidR="00BC4EDE" w:rsidRPr="004C7E63">
        <w:rPr>
          <w:rFonts w:ascii="Arial" w:eastAsia="Arial" w:hAnsi="Arial" w:cs="Arial"/>
        </w:rPr>
        <w:t>&gt;</w:t>
      </w:r>
      <w:r w:rsidR="00B06868" w:rsidRPr="004C7E63">
        <w:rPr>
          <w:rFonts w:ascii="Arial" w:eastAsia="Arial" w:hAnsi="Arial" w:cs="Arial"/>
        </w:rPr>
        <w:t>250ng/l over time</w:t>
      </w:r>
      <w:r w:rsidR="005D37FD" w:rsidRPr="004C7E63">
        <w:rPr>
          <w:rFonts w:ascii="Arial" w:eastAsia="Arial" w:hAnsi="Arial" w:cs="Arial"/>
        </w:rPr>
        <w:t xml:space="preserve"> </w:t>
      </w:r>
      <w:r w:rsidR="0072344C" w:rsidRPr="004C7E63">
        <w:rPr>
          <w:rFonts w:ascii="Arial" w:eastAsia="Arial" w:hAnsi="Arial" w:cs="Arial"/>
        </w:rPr>
        <w:t xml:space="preserve">for the entire run period not bigger </w:t>
      </w:r>
      <w:r w:rsidR="000239E6" w:rsidRPr="004C7E63">
        <w:rPr>
          <w:rFonts w:ascii="Arial" w:eastAsia="Arial" w:hAnsi="Arial" w:cs="Arial"/>
        </w:rPr>
        <w:t>than</w:t>
      </w:r>
      <w:r w:rsidR="0079353D" w:rsidRPr="004C7E63">
        <w:rPr>
          <w:rFonts w:ascii="Arial" w:eastAsia="Arial" w:hAnsi="Arial" w:cs="Arial"/>
        </w:rPr>
        <w:t xml:space="preserve"> the</w:t>
      </w:r>
      <w:r w:rsidRPr="004C7E63">
        <w:rPr>
          <w:rFonts w:ascii="Arial" w:eastAsia="Arial" w:hAnsi="Arial" w:cs="Arial"/>
        </w:rPr>
        <w:t xml:space="preserve"> mixing zone ellipse area calculated in BathAuto</w:t>
      </w:r>
      <w:r w:rsidR="0079353D" w:rsidRPr="004C7E63">
        <w:rPr>
          <w:rFonts w:ascii="Arial" w:eastAsia="Arial" w:hAnsi="Arial" w:cs="Arial"/>
        </w:rPr>
        <w:t>.</w:t>
      </w:r>
    </w:p>
    <w:p w14:paraId="55A5C5D6" w14:textId="5C8244C3" w:rsidR="004474A3" w:rsidRPr="004C7E63" w:rsidRDefault="00C71043" w:rsidP="004474A3">
      <w:pPr>
        <w:pStyle w:val="ListParagraph"/>
        <w:numPr>
          <w:ilvl w:val="2"/>
          <w:numId w:val="1"/>
        </w:numPr>
        <w:rPr>
          <w:rFonts w:ascii="Arial" w:eastAsia="Arial" w:hAnsi="Arial" w:cs="Arial"/>
          <w:b/>
          <w:bCs/>
          <w:sz w:val="24"/>
          <w:szCs w:val="24"/>
          <w:u w:val="single"/>
        </w:rPr>
      </w:pPr>
      <w:r w:rsidRPr="004C7E63">
        <w:rPr>
          <w:rFonts w:ascii="Arial" w:eastAsia="Arial" w:hAnsi="Arial" w:cs="Arial"/>
        </w:rPr>
        <w:t xml:space="preserve">72hr </w:t>
      </w:r>
      <w:r w:rsidR="004474A3" w:rsidRPr="004C7E63">
        <w:rPr>
          <w:rFonts w:ascii="Arial" w:eastAsia="Arial" w:hAnsi="Arial" w:cs="Arial"/>
        </w:rPr>
        <w:t>Azamethiphos EQS: area of Azamethiphos concentration &gt;</w:t>
      </w:r>
      <w:r w:rsidR="005D37FD" w:rsidRPr="004C7E63">
        <w:rPr>
          <w:rFonts w:ascii="Arial" w:eastAsia="Arial" w:hAnsi="Arial" w:cs="Arial"/>
        </w:rPr>
        <w:t>40 ng/l over time</w:t>
      </w:r>
      <w:r w:rsidR="005B489D" w:rsidRPr="004C7E63">
        <w:rPr>
          <w:rFonts w:ascii="Arial" w:eastAsia="Arial" w:hAnsi="Arial" w:cs="Arial"/>
        </w:rPr>
        <w:t xml:space="preserve"> for entire run period</w:t>
      </w:r>
      <w:r w:rsidR="004474A3" w:rsidRPr="004C7E63">
        <w:rPr>
          <w:rFonts w:ascii="Arial" w:eastAsia="Arial" w:hAnsi="Arial" w:cs="Arial"/>
        </w:rPr>
        <w:t xml:space="preserve"> not bigger than 0.5km</w:t>
      </w:r>
      <w:r w:rsidR="004474A3" w:rsidRPr="004C7E63">
        <w:rPr>
          <w:rFonts w:ascii="Arial" w:eastAsia="Arial" w:hAnsi="Arial" w:cs="Arial"/>
          <w:vertAlign w:val="superscript"/>
        </w:rPr>
        <w:t>2</w:t>
      </w:r>
      <w:r w:rsidR="001D6079" w:rsidRPr="004C7E63">
        <w:rPr>
          <w:rFonts w:ascii="Arial" w:eastAsia="Arial" w:hAnsi="Arial" w:cs="Arial"/>
        </w:rPr>
        <w:t>.</w:t>
      </w:r>
    </w:p>
    <w:p w14:paraId="7E389B43" w14:textId="746FC828" w:rsidR="00B918B6" w:rsidRPr="004C7E63" w:rsidRDefault="004474A3" w:rsidP="00CF5B5B">
      <w:pPr>
        <w:pStyle w:val="ListParagraph"/>
        <w:numPr>
          <w:ilvl w:val="2"/>
          <w:numId w:val="1"/>
        </w:numPr>
        <w:rPr>
          <w:rFonts w:ascii="Arial" w:eastAsia="Arial" w:hAnsi="Arial" w:cs="Arial"/>
          <w:sz w:val="24"/>
          <w:szCs w:val="24"/>
        </w:rPr>
      </w:pPr>
      <w:r w:rsidRPr="004C7E63">
        <w:rPr>
          <w:rFonts w:ascii="Arial" w:eastAsia="Arial" w:hAnsi="Arial" w:cs="Arial"/>
        </w:rPr>
        <w:t xml:space="preserve">6hr </w:t>
      </w:r>
      <w:r w:rsidR="00B75657" w:rsidRPr="004C7E63">
        <w:rPr>
          <w:rFonts w:ascii="Arial" w:eastAsia="Arial" w:hAnsi="Arial" w:cs="Arial"/>
        </w:rPr>
        <w:t xml:space="preserve">Cypermethrin </w:t>
      </w:r>
      <w:r w:rsidR="00B92F86" w:rsidRPr="004C7E63">
        <w:rPr>
          <w:rFonts w:ascii="Arial" w:eastAsia="Arial" w:hAnsi="Arial" w:cs="Arial"/>
        </w:rPr>
        <w:t xml:space="preserve">EQS: area of Cypermethrin concentration </w:t>
      </w:r>
      <w:r w:rsidR="00B75657" w:rsidRPr="004C7E63">
        <w:rPr>
          <w:rFonts w:ascii="Arial" w:eastAsia="Arial" w:hAnsi="Arial" w:cs="Arial"/>
        </w:rPr>
        <w:t>&gt;16ng/l over time</w:t>
      </w:r>
      <w:r w:rsidR="0079353D" w:rsidRPr="004C7E63">
        <w:rPr>
          <w:rFonts w:ascii="Arial" w:eastAsia="Arial" w:hAnsi="Arial" w:cs="Arial"/>
        </w:rPr>
        <w:t xml:space="preserve"> </w:t>
      </w:r>
      <w:r w:rsidR="00F01603" w:rsidRPr="004C7E63">
        <w:rPr>
          <w:rFonts w:ascii="Arial" w:eastAsia="Arial" w:hAnsi="Arial" w:cs="Arial"/>
        </w:rPr>
        <w:t xml:space="preserve">not bigger than </w:t>
      </w:r>
      <w:r w:rsidR="008A4B32" w:rsidRPr="004C7E63">
        <w:rPr>
          <w:rFonts w:ascii="Arial" w:eastAsia="Arial" w:hAnsi="Arial" w:cs="Arial"/>
        </w:rPr>
        <w:t xml:space="preserve">the </w:t>
      </w:r>
      <w:r w:rsidR="00F01603" w:rsidRPr="004C7E63">
        <w:rPr>
          <w:rFonts w:ascii="Arial" w:eastAsia="Arial" w:hAnsi="Arial" w:cs="Arial"/>
        </w:rPr>
        <w:t>mixing zone ellipse area calculated in BathAuto</w:t>
      </w:r>
      <w:r w:rsidR="007D10E1" w:rsidRPr="004C7E63">
        <w:rPr>
          <w:rFonts w:ascii="Arial" w:eastAsia="Arial" w:hAnsi="Arial" w:cs="Arial"/>
        </w:rPr>
        <w:t>.</w:t>
      </w:r>
    </w:p>
    <w:p w14:paraId="7F5E9173" w14:textId="0BC5A254" w:rsidR="004575D0" w:rsidRPr="004C7E63" w:rsidRDefault="004575D0" w:rsidP="00CF5B5B">
      <w:pPr>
        <w:pStyle w:val="ListParagraph"/>
        <w:numPr>
          <w:ilvl w:val="2"/>
          <w:numId w:val="1"/>
        </w:numPr>
        <w:rPr>
          <w:rFonts w:ascii="Arial" w:eastAsia="Arial" w:hAnsi="Arial" w:cs="Arial"/>
          <w:b/>
          <w:bCs/>
          <w:sz w:val="24"/>
          <w:szCs w:val="24"/>
          <w:u w:val="single"/>
        </w:rPr>
      </w:pPr>
      <w:r w:rsidRPr="004C7E63">
        <w:rPr>
          <w:rFonts w:ascii="Arial" w:eastAsia="Arial" w:hAnsi="Arial" w:cs="Arial"/>
        </w:rPr>
        <w:t>6hr Deltamethrin EQS: concentration &gt; 6ng/l over time not bigger than the mixing zone ellipse area calculated in BathAuto.</w:t>
      </w:r>
    </w:p>
    <w:p w14:paraId="41C72A6D" w14:textId="724AB81B" w:rsidR="00B40593" w:rsidRPr="004C7E63" w:rsidRDefault="00B40593" w:rsidP="00326AF5">
      <w:pPr>
        <w:ind w:left="2127"/>
        <w:rPr>
          <w:rFonts w:ascii="Arial" w:eastAsia="Arial" w:hAnsi="Arial" w:cs="Arial"/>
          <w:b/>
          <w:bCs/>
          <w:sz w:val="24"/>
          <w:szCs w:val="24"/>
          <w:u w:val="single"/>
        </w:rPr>
      </w:pPr>
      <w:r w:rsidRPr="004C7E63">
        <w:rPr>
          <w:rFonts w:ascii="Arial" w:eastAsia="Arial" w:hAnsi="Arial" w:cs="Arial"/>
        </w:rPr>
        <w:t xml:space="preserve">Note: </w:t>
      </w:r>
      <w:r w:rsidR="00F23B00" w:rsidRPr="004C7E63">
        <w:rPr>
          <w:rFonts w:ascii="Arial" w:eastAsia="Arial" w:hAnsi="Arial" w:cs="Arial"/>
        </w:rPr>
        <w:t xml:space="preserve">the </w:t>
      </w:r>
      <w:r w:rsidR="00154B55" w:rsidRPr="004C7E63">
        <w:rPr>
          <w:rFonts w:ascii="Arial" w:eastAsia="Arial" w:hAnsi="Arial" w:cs="Arial"/>
        </w:rPr>
        <w:t xml:space="preserve">size of the </w:t>
      </w:r>
      <w:r w:rsidRPr="004C7E63">
        <w:rPr>
          <w:rFonts w:ascii="Arial" w:eastAsia="Arial" w:hAnsi="Arial" w:cs="Arial"/>
        </w:rPr>
        <w:t xml:space="preserve">mixing zone ellipse area for Azamethiphos after 3hrs differs from </w:t>
      </w:r>
      <w:r w:rsidR="00154B55" w:rsidRPr="004C7E63">
        <w:rPr>
          <w:rFonts w:ascii="Arial" w:eastAsia="Arial" w:hAnsi="Arial" w:cs="Arial"/>
        </w:rPr>
        <w:t xml:space="preserve">the size of the </w:t>
      </w:r>
      <w:r w:rsidRPr="004C7E63">
        <w:rPr>
          <w:rFonts w:ascii="Arial" w:eastAsia="Arial" w:hAnsi="Arial" w:cs="Arial"/>
        </w:rPr>
        <w:t xml:space="preserve">mixing zone ellipse area for </w:t>
      </w:r>
      <w:r w:rsidRPr="004C7E63">
        <w:rPr>
          <w:rFonts w:ascii="Arial" w:eastAsia="Arial" w:hAnsi="Arial" w:cs="Arial"/>
        </w:rPr>
        <w:lastRenderedPageBreak/>
        <w:t>Cypermethrin and Deltamethrin after 6 hrs</w:t>
      </w:r>
      <w:r w:rsidR="00154B55" w:rsidRPr="004C7E63">
        <w:rPr>
          <w:rFonts w:ascii="Arial" w:eastAsia="Arial" w:hAnsi="Arial" w:cs="Arial"/>
        </w:rPr>
        <w:t xml:space="preserve">, as the </w:t>
      </w:r>
      <w:r w:rsidR="00C40F75" w:rsidRPr="004C7E63">
        <w:rPr>
          <w:rFonts w:ascii="Arial" w:eastAsia="Arial" w:hAnsi="Arial" w:cs="Arial"/>
        </w:rPr>
        <w:t>area is time dependent</w:t>
      </w:r>
      <w:r w:rsidRPr="004C7E63">
        <w:rPr>
          <w:rFonts w:ascii="Arial" w:eastAsia="Arial" w:hAnsi="Arial" w:cs="Arial"/>
        </w:rPr>
        <w:t xml:space="preserve">.  </w:t>
      </w:r>
    </w:p>
    <w:p w14:paraId="41D06602" w14:textId="139B718F" w:rsidR="00EF6C40" w:rsidRPr="004C7E63" w:rsidRDefault="00EF6C40" w:rsidP="00F40AAD">
      <w:pPr>
        <w:rPr>
          <w:rFonts w:ascii="Arial" w:eastAsia="Arial" w:hAnsi="Arial" w:cs="Arial"/>
          <w:b/>
          <w:bCs/>
          <w:sz w:val="24"/>
          <w:szCs w:val="24"/>
          <w:u w:val="single"/>
        </w:rPr>
      </w:pPr>
    </w:p>
    <w:p w14:paraId="75670069" w14:textId="77777777" w:rsidR="001D7629" w:rsidRDefault="001D7629" w:rsidP="00EF6C40">
      <w:pPr>
        <w:rPr>
          <w:rFonts w:ascii="Arial" w:eastAsia="Arial" w:hAnsi="Arial" w:cs="Arial"/>
          <w:b/>
          <w:bCs/>
          <w:color w:val="000000"/>
          <w:sz w:val="24"/>
          <w:szCs w:val="24"/>
          <w:u w:val="single"/>
        </w:rPr>
      </w:pPr>
    </w:p>
    <w:p w14:paraId="70827D63" w14:textId="77777777" w:rsidR="001D7629" w:rsidRDefault="001D7629" w:rsidP="00EF6C40">
      <w:pPr>
        <w:rPr>
          <w:rFonts w:ascii="Arial" w:eastAsia="Arial" w:hAnsi="Arial" w:cs="Arial"/>
          <w:b/>
          <w:bCs/>
          <w:color w:val="000000"/>
          <w:sz w:val="24"/>
          <w:szCs w:val="24"/>
          <w:u w:val="single"/>
        </w:rPr>
      </w:pPr>
    </w:p>
    <w:p w14:paraId="21C1670F" w14:textId="0B87B6F5" w:rsidR="00CB74E5" w:rsidRDefault="00EF6C40" w:rsidP="00EF6C40">
      <w:pPr>
        <w:rPr>
          <w:rFonts w:ascii="Arial" w:eastAsia="Arial" w:hAnsi="Arial" w:cs="Arial"/>
          <w:b/>
          <w:bCs/>
        </w:rPr>
      </w:pPr>
      <w:r w:rsidRPr="426F2002">
        <w:rPr>
          <w:rFonts w:ascii="Arial" w:eastAsia="Arial" w:hAnsi="Arial" w:cs="Arial"/>
          <w:b/>
          <w:bCs/>
          <w:color w:val="000000" w:themeColor="text1"/>
          <w:sz w:val="24"/>
          <w:szCs w:val="24"/>
          <w:u w:val="single"/>
        </w:rPr>
        <w:t>When testing for compliance please follow the principles and EQS/</w:t>
      </w:r>
      <w:r w:rsidR="00C61EC1">
        <w:rPr>
          <w:rFonts w:ascii="Arial" w:eastAsia="Arial" w:hAnsi="Arial" w:cs="Arial"/>
          <w:b/>
          <w:bCs/>
          <w:color w:val="000000" w:themeColor="text1"/>
          <w:sz w:val="24"/>
          <w:szCs w:val="24"/>
          <w:u w:val="single"/>
        </w:rPr>
        <w:t xml:space="preserve"> </w:t>
      </w:r>
      <w:r w:rsidRPr="426F2002">
        <w:rPr>
          <w:rFonts w:ascii="Arial" w:eastAsia="Arial" w:hAnsi="Arial" w:cs="Arial"/>
          <w:b/>
          <w:bCs/>
          <w:color w:val="000000" w:themeColor="text1"/>
          <w:sz w:val="24"/>
          <w:szCs w:val="24"/>
          <w:u w:val="single"/>
        </w:rPr>
        <w:t>MAC values used in the previous Bath Auto modelling spreadsheet:</w:t>
      </w:r>
    </w:p>
    <w:p w14:paraId="5EFAACA0" w14:textId="77777777" w:rsidR="00EF6C40" w:rsidRPr="001D4D22" w:rsidRDefault="00EF6C40" w:rsidP="00EF6C40">
      <w:pPr>
        <w:rPr>
          <w:rFonts w:ascii="Arial" w:eastAsia="Arial" w:hAnsi="Arial" w:cs="Arial"/>
          <w:color w:val="000000"/>
        </w:rPr>
      </w:pPr>
      <w:r w:rsidRPr="001D4D22">
        <w:rPr>
          <w:rFonts w:ascii="Arial" w:eastAsia="Arial" w:hAnsi="Arial" w:cs="Arial"/>
          <w:b/>
          <w:bCs/>
        </w:rPr>
        <w:t>Table G-1 Standards for Azamethiphos</w:t>
      </w:r>
    </w:p>
    <w:tbl>
      <w:tblPr>
        <w:tblW w:w="0" w:type="auto"/>
        <w:tblInd w:w="40" w:type="dxa"/>
        <w:tblLayout w:type="fixed"/>
        <w:tblLook w:val="0000" w:firstRow="0" w:lastRow="0" w:firstColumn="0" w:lastColumn="0" w:noHBand="0" w:noVBand="0"/>
      </w:tblPr>
      <w:tblGrid>
        <w:gridCol w:w="4949"/>
        <w:gridCol w:w="1874"/>
        <w:gridCol w:w="1932"/>
      </w:tblGrid>
      <w:tr w:rsidR="00EF6C40" w:rsidRPr="001D4D22" w14:paraId="75DEC453" w14:textId="77777777" w:rsidTr="009420C4">
        <w:trPr>
          <w:trHeight w:val="150"/>
        </w:trPr>
        <w:tc>
          <w:tcPr>
            <w:tcW w:w="4949" w:type="dxa"/>
            <w:tcBorders>
              <w:top w:val="single" w:sz="8" w:space="0" w:color="000000"/>
              <w:left w:val="single" w:sz="8" w:space="0" w:color="000000"/>
              <w:bottom w:val="single" w:sz="8" w:space="0" w:color="000000"/>
            </w:tcBorders>
            <w:shd w:val="clear" w:color="auto" w:fill="auto"/>
          </w:tcPr>
          <w:p w14:paraId="51BD6DDC"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Timescale</w:t>
            </w:r>
          </w:p>
        </w:tc>
        <w:tc>
          <w:tcPr>
            <w:tcW w:w="1874" w:type="dxa"/>
            <w:tcBorders>
              <w:top w:val="single" w:sz="8" w:space="0" w:color="000000"/>
              <w:left w:val="single" w:sz="8" w:space="0" w:color="000000"/>
              <w:bottom w:val="single" w:sz="8" w:space="0" w:color="000000"/>
            </w:tcBorders>
            <w:shd w:val="clear" w:color="auto" w:fill="auto"/>
          </w:tcPr>
          <w:p w14:paraId="6B2C74CD"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Standard</w:t>
            </w:r>
          </w:p>
        </w:tc>
        <w:tc>
          <w:tcPr>
            <w:tcW w:w="1932" w:type="dxa"/>
            <w:tcBorders>
              <w:top w:val="single" w:sz="8" w:space="0" w:color="000000"/>
              <w:left w:val="single" w:sz="8" w:space="0" w:color="000000"/>
              <w:bottom w:val="single" w:sz="8" w:space="0" w:color="000000"/>
              <w:right w:val="single" w:sz="8" w:space="0" w:color="000000"/>
            </w:tcBorders>
            <w:shd w:val="clear" w:color="auto" w:fill="auto"/>
          </w:tcPr>
          <w:p w14:paraId="2389BB2F" w14:textId="77777777" w:rsidR="00EF6C40" w:rsidRPr="001D4D22" w:rsidRDefault="00EF6C40" w:rsidP="009420C4">
            <w:pPr>
              <w:jc w:val="center"/>
            </w:pPr>
            <w:r w:rsidRPr="001D4D22">
              <w:rPr>
                <w:rFonts w:ascii="Arial" w:eastAsia="Arial" w:hAnsi="Arial" w:cs="Arial"/>
                <w:color w:val="000000"/>
              </w:rPr>
              <w:t>Type</w:t>
            </w:r>
          </w:p>
        </w:tc>
      </w:tr>
      <w:tr w:rsidR="00EF6C40" w:rsidRPr="001D4D22" w14:paraId="5EA32DB6" w14:textId="77777777" w:rsidTr="009420C4">
        <w:trPr>
          <w:trHeight w:val="150"/>
        </w:trPr>
        <w:tc>
          <w:tcPr>
            <w:tcW w:w="4949" w:type="dxa"/>
            <w:tcBorders>
              <w:top w:val="single" w:sz="8" w:space="0" w:color="000000"/>
              <w:left w:val="single" w:sz="8" w:space="0" w:color="000000"/>
              <w:bottom w:val="single" w:sz="8" w:space="0" w:color="000000"/>
            </w:tcBorders>
            <w:shd w:val="clear" w:color="auto" w:fill="auto"/>
          </w:tcPr>
          <w:p w14:paraId="7E1EA493"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 xml:space="preserve">3 hours </w:t>
            </w:r>
          </w:p>
        </w:tc>
        <w:tc>
          <w:tcPr>
            <w:tcW w:w="1874" w:type="dxa"/>
            <w:tcBorders>
              <w:top w:val="single" w:sz="8" w:space="0" w:color="000000"/>
              <w:left w:val="single" w:sz="8" w:space="0" w:color="000000"/>
              <w:bottom w:val="single" w:sz="8" w:space="0" w:color="000000"/>
            </w:tcBorders>
            <w:shd w:val="clear" w:color="auto" w:fill="auto"/>
          </w:tcPr>
          <w:p w14:paraId="789CA87D"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250 ng l</w:t>
            </w:r>
            <w:r w:rsidRPr="001D4D22">
              <w:rPr>
                <w:rFonts w:ascii="Arial" w:eastAsia="Arial" w:hAnsi="Arial" w:cs="Arial"/>
                <w:color w:val="000000"/>
                <w:vertAlign w:val="superscript"/>
              </w:rPr>
              <w:t>-1</w:t>
            </w:r>
            <w:r w:rsidRPr="001D4D22">
              <w:rPr>
                <w:rFonts w:ascii="Arial" w:eastAsia="Arial" w:hAnsi="Arial" w:cs="Arial"/>
                <w:color w:val="000000"/>
              </w:rPr>
              <w:t xml:space="preserve"> </w:t>
            </w:r>
          </w:p>
        </w:tc>
        <w:tc>
          <w:tcPr>
            <w:tcW w:w="1932" w:type="dxa"/>
            <w:tcBorders>
              <w:top w:val="single" w:sz="8" w:space="0" w:color="000000"/>
              <w:left w:val="single" w:sz="8" w:space="0" w:color="000000"/>
              <w:bottom w:val="single" w:sz="8" w:space="0" w:color="000000"/>
              <w:right w:val="single" w:sz="8" w:space="0" w:color="000000"/>
            </w:tcBorders>
            <w:shd w:val="clear" w:color="auto" w:fill="auto"/>
          </w:tcPr>
          <w:p w14:paraId="2CF8C4D0" w14:textId="77777777" w:rsidR="00EF6C40" w:rsidRPr="001D4D22" w:rsidRDefault="00EF6C40" w:rsidP="009420C4">
            <w:pPr>
              <w:jc w:val="center"/>
            </w:pPr>
            <w:r w:rsidRPr="001D4D22">
              <w:rPr>
                <w:rFonts w:ascii="Arial" w:eastAsia="Arial" w:hAnsi="Arial" w:cs="Arial"/>
                <w:color w:val="000000"/>
              </w:rPr>
              <w:t xml:space="preserve">EQS </w:t>
            </w:r>
          </w:p>
        </w:tc>
      </w:tr>
      <w:tr w:rsidR="00EF6C40" w:rsidRPr="001D4D22" w14:paraId="0E0B5F3A" w14:textId="77777777" w:rsidTr="009420C4">
        <w:trPr>
          <w:trHeight w:val="150"/>
        </w:trPr>
        <w:tc>
          <w:tcPr>
            <w:tcW w:w="4949" w:type="dxa"/>
            <w:tcBorders>
              <w:top w:val="single" w:sz="8" w:space="0" w:color="000000"/>
              <w:left w:val="single" w:sz="8" w:space="0" w:color="000000"/>
              <w:bottom w:val="single" w:sz="8" w:space="0" w:color="000000"/>
            </w:tcBorders>
            <w:shd w:val="clear" w:color="auto" w:fill="auto"/>
          </w:tcPr>
          <w:p w14:paraId="351D8A44"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 xml:space="preserve">72 hours </w:t>
            </w:r>
          </w:p>
        </w:tc>
        <w:tc>
          <w:tcPr>
            <w:tcW w:w="1874" w:type="dxa"/>
            <w:tcBorders>
              <w:top w:val="single" w:sz="8" w:space="0" w:color="000000"/>
              <w:left w:val="single" w:sz="8" w:space="0" w:color="000000"/>
              <w:bottom w:val="single" w:sz="8" w:space="0" w:color="000000"/>
            </w:tcBorders>
            <w:shd w:val="clear" w:color="auto" w:fill="auto"/>
          </w:tcPr>
          <w:p w14:paraId="494E22CD"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40 ng l</w:t>
            </w:r>
            <w:r w:rsidRPr="001D4D22">
              <w:rPr>
                <w:rFonts w:ascii="Arial" w:eastAsia="Arial" w:hAnsi="Arial" w:cs="Arial"/>
                <w:color w:val="000000"/>
                <w:vertAlign w:val="superscript"/>
              </w:rPr>
              <w:t xml:space="preserve">-1 </w:t>
            </w:r>
          </w:p>
        </w:tc>
        <w:tc>
          <w:tcPr>
            <w:tcW w:w="1932" w:type="dxa"/>
            <w:tcBorders>
              <w:top w:val="single" w:sz="8" w:space="0" w:color="000000"/>
              <w:left w:val="single" w:sz="8" w:space="0" w:color="000000"/>
              <w:bottom w:val="single" w:sz="8" w:space="0" w:color="000000"/>
              <w:right w:val="single" w:sz="8" w:space="0" w:color="000000"/>
            </w:tcBorders>
            <w:shd w:val="clear" w:color="auto" w:fill="auto"/>
          </w:tcPr>
          <w:p w14:paraId="5599F2FB" w14:textId="77777777" w:rsidR="00EF6C40" w:rsidRPr="001D4D22" w:rsidRDefault="00EF6C40" w:rsidP="009420C4">
            <w:pPr>
              <w:jc w:val="center"/>
            </w:pPr>
            <w:r w:rsidRPr="001D4D22">
              <w:rPr>
                <w:rFonts w:ascii="Arial" w:eastAsia="Arial" w:hAnsi="Arial" w:cs="Arial"/>
                <w:color w:val="000000"/>
              </w:rPr>
              <w:t xml:space="preserve">EQS </w:t>
            </w:r>
          </w:p>
        </w:tc>
      </w:tr>
      <w:tr w:rsidR="00EF6C40" w:rsidRPr="001D4D22" w14:paraId="4053BDBE" w14:textId="77777777" w:rsidTr="009420C4">
        <w:trPr>
          <w:trHeight w:val="150"/>
        </w:trPr>
        <w:tc>
          <w:tcPr>
            <w:tcW w:w="4949" w:type="dxa"/>
            <w:tcBorders>
              <w:top w:val="single" w:sz="8" w:space="0" w:color="000000"/>
              <w:left w:val="single" w:sz="8" w:space="0" w:color="000000"/>
              <w:bottom w:val="single" w:sz="8" w:space="0" w:color="000000"/>
            </w:tcBorders>
            <w:shd w:val="clear" w:color="auto" w:fill="auto"/>
          </w:tcPr>
          <w:p w14:paraId="6550F7F4"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 xml:space="preserve">72 hours </w:t>
            </w:r>
          </w:p>
        </w:tc>
        <w:tc>
          <w:tcPr>
            <w:tcW w:w="1874" w:type="dxa"/>
            <w:tcBorders>
              <w:top w:val="single" w:sz="8" w:space="0" w:color="000000"/>
              <w:left w:val="single" w:sz="8" w:space="0" w:color="000000"/>
              <w:bottom w:val="single" w:sz="8" w:space="0" w:color="000000"/>
            </w:tcBorders>
            <w:shd w:val="clear" w:color="auto" w:fill="auto"/>
          </w:tcPr>
          <w:p w14:paraId="6E453B35"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100 ng l</w:t>
            </w:r>
            <w:r w:rsidRPr="001D4D22">
              <w:rPr>
                <w:rFonts w:ascii="Arial" w:eastAsia="Arial" w:hAnsi="Arial" w:cs="Arial"/>
                <w:color w:val="000000"/>
                <w:vertAlign w:val="superscript"/>
              </w:rPr>
              <w:t xml:space="preserve">-1 </w:t>
            </w:r>
          </w:p>
        </w:tc>
        <w:tc>
          <w:tcPr>
            <w:tcW w:w="1932" w:type="dxa"/>
            <w:tcBorders>
              <w:top w:val="single" w:sz="8" w:space="0" w:color="000000"/>
              <w:left w:val="single" w:sz="8" w:space="0" w:color="000000"/>
              <w:bottom w:val="single" w:sz="8" w:space="0" w:color="000000"/>
              <w:right w:val="single" w:sz="8" w:space="0" w:color="000000"/>
            </w:tcBorders>
            <w:shd w:val="clear" w:color="auto" w:fill="auto"/>
          </w:tcPr>
          <w:p w14:paraId="70FD4BD9" w14:textId="77777777" w:rsidR="00EF6C40" w:rsidRPr="001D4D22" w:rsidRDefault="00EF6C40" w:rsidP="009420C4">
            <w:pPr>
              <w:jc w:val="center"/>
            </w:pPr>
            <w:r w:rsidRPr="001D4D22">
              <w:rPr>
                <w:rFonts w:ascii="Arial" w:eastAsia="Arial" w:hAnsi="Arial" w:cs="Arial"/>
                <w:color w:val="000000"/>
              </w:rPr>
              <w:t xml:space="preserve">MAC </w:t>
            </w:r>
          </w:p>
        </w:tc>
      </w:tr>
    </w:tbl>
    <w:p w14:paraId="67A2E9E1" w14:textId="77777777" w:rsidR="00EF6C40" w:rsidRPr="001D4D22" w:rsidRDefault="00EF6C40" w:rsidP="00EF6C40">
      <w:pPr>
        <w:rPr>
          <w:rFonts w:ascii="Arial" w:eastAsia="Arial" w:hAnsi="Arial" w:cs="Arial"/>
          <w:b/>
          <w:bCs/>
          <w:color w:val="000000"/>
        </w:rPr>
      </w:pPr>
      <w:r w:rsidRPr="001D4D22">
        <w:rPr>
          <w:rFonts w:ascii="Arial" w:eastAsia="Arial" w:hAnsi="Arial" w:cs="Arial"/>
          <w:color w:val="000000"/>
        </w:rPr>
        <w:t xml:space="preserve"> </w:t>
      </w:r>
    </w:p>
    <w:p w14:paraId="6FF33DFE" w14:textId="77777777" w:rsidR="00EF6C40" w:rsidRPr="00993D98" w:rsidRDefault="00EF6C40" w:rsidP="00993D98">
      <w:pPr>
        <w:pStyle w:val="ListParagraph"/>
        <w:numPr>
          <w:ilvl w:val="0"/>
          <w:numId w:val="2"/>
        </w:numPr>
        <w:rPr>
          <w:rFonts w:ascii="Arial" w:eastAsia="Arial" w:hAnsi="Arial" w:cs="Arial"/>
          <w:color w:val="000000"/>
        </w:rPr>
      </w:pPr>
      <w:r w:rsidRPr="00993D98">
        <w:rPr>
          <w:rFonts w:ascii="Arial" w:eastAsia="Arial" w:hAnsi="Arial" w:cs="Arial"/>
          <w:b/>
          <w:bCs/>
          <w:color w:val="000000" w:themeColor="text1"/>
        </w:rPr>
        <w:t xml:space="preserve">Table G-2 Standard for Cypermethrin </w:t>
      </w:r>
    </w:p>
    <w:tbl>
      <w:tblPr>
        <w:tblW w:w="0" w:type="auto"/>
        <w:tblInd w:w="40" w:type="dxa"/>
        <w:tblLayout w:type="fixed"/>
        <w:tblLook w:val="0000" w:firstRow="0" w:lastRow="0" w:firstColumn="0" w:lastColumn="0" w:noHBand="0" w:noVBand="0"/>
      </w:tblPr>
      <w:tblGrid>
        <w:gridCol w:w="4904"/>
        <w:gridCol w:w="1829"/>
        <w:gridCol w:w="2007"/>
      </w:tblGrid>
      <w:tr w:rsidR="00EF6C40" w:rsidRPr="001D4D22" w14:paraId="5BD31CF2" w14:textId="77777777" w:rsidTr="009420C4">
        <w:trPr>
          <w:trHeight w:val="150"/>
        </w:trPr>
        <w:tc>
          <w:tcPr>
            <w:tcW w:w="4904" w:type="dxa"/>
            <w:tcBorders>
              <w:top w:val="single" w:sz="8" w:space="0" w:color="000000"/>
              <w:left w:val="single" w:sz="8" w:space="0" w:color="000000"/>
              <w:bottom w:val="single" w:sz="8" w:space="0" w:color="000000"/>
            </w:tcBorders>
            <w:shd w:val="clear" w:color="auto" w:fill="auto"/>
          </w:tcPr>
          <w:p w14:paraId="619E30A2"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Timescale</w:t>
            </w:r>
          </w:p>
        </w:tc>
        <w:tc>
          <w:tcPr>
            <w:tcW w:w="1829" w:type="dxa"/>
            <w:tcBorders>
              <w:top w:val="single" w:sz="8" w:space="0" w:color="000000"/>
              <w:left w:val="single" w:sz="8" w:space="0" w:color="000000"/>
              <w:bottom w:val="single" w:sz="8" w:space="0" w:color="000000"/>
            </w:tcBorders>
            <w:shd w:val="clear" w:color="auto" w:fill="auto"/>
          </w:tcPr>
          <w:p w14:paraId="0CBC9E55"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Standard</w:t>
            </w:r>
          </w:p>
        </w:tc>
        <w:tc>
          <w:tcPr>
            <w:tcW w:w="2007" w:type="dxa"/>
            <w:tcBorders>
              <w:top w:val="single" w:sz="8" w:space="0" w:color="000000"/>
              <w:left w:val="single" w:sz="8" w:space="0" w:color="000000"/>
              <w:bottom w:val="single" w:sz="8" w:space="0" w:color="000000"/>
              <w:right w:val="single" w:sz="8" w:space="0" w:color="000000"/>
            </w:tcBorders>
            <w:shd w:val="clear" w:color="auto" w:fill="auto"/>
          </w:tcPr>
          <w:p w14:paraId="3B12D070" w14:textId="77777777" w:rsidR="00EF6C40" w:rsidRPr="001D4D22" w:rsidRDefault="00EF6C40" w:rsidP="009420C4">
            <w:pPr>
              <w:jc w:val="center"/>
            </w:pPr>
            <w:r w:rsidRPr="001D4D22">
              <w:rPr>
                <w:rFonts w:ascii="Arial" w:eastAsia="Arial" w:hAnsi="Arial" w:cs="Arial"/>
                <w:color w:val="000000"/>
              </w:rPr>
              <w:t>Type</w:t>
            </w:r>
          </w:p>
        </w:tc>
      </w:tr>
      <w:tr w:rsidR="00EF6C40" w:rsidRPr="001D4D22" w14:paraId="588295A4" w14:textId="77777777" w:rsidTr="009420C4">
        <w:trPr>
          <w:trHeight w:val="150"/>
        </w:trPr>
        <w:tc>
          <w:tcPr>
            <w:tcW w:w="4904" w:type="dxa"/>
            <w:tcBorders>
              <w:top w:val="single" w:sz="8" w:space="0" w:color="000000"/>
              <w:left w:val="single" w:sz="8" w:space="0" w:color="000000"/>
              <w:bottom w:val="single" w:sz="8" w:space="0" w:color="000000"/>
            </w:tcBorders>
            <w:shd w:val="clear" w:color="auto" w:fill="auto"/>
          </w:tcPr>
          <w:p w14:paraId="4D0A5BF6"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 xml:space="preserve">6 hours </w:t>
            </w:r>
          </w:p>
        </w:tc>
        <w:tc>
          <w:tcPr>
            <w:tcW w:w="1829" w:type="dxa"/>
            <w:tcBorders>
              <w:top w:val="single" w:sz="8" w:space="0" w:color="000000"/>
              <w:left w:val="single" w:sz="8" w:space="0" w:color="000000"/>
              <w:bottom w:val="single" w:sz="8" w:space="0" w:color="000000"/>
            </w:tcBorders>
            <w:shd w:val="clear" w:color="auto" w:fill="auto"/>
          </w:tcPr>
          <w:p w14:paraId="2176C35C"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16 ng l</w:t>
            </w:r>
            <w:r w:rsidRPr="001D4D22">
              <w:rPr>
                <w:rFonts w:ascii="Arial" w:eastAsia="Arial" w:hAnsi="Arial" w:cs="Arial"/>
                <w:color w:val="000000"/>
                <w:vertAlign w:val="superscript"/>
              </w:rPr>
              <w:t xml:space="preserve">-1 </w:t>
            </w:r>
          </w:p>
        </w:tc>
        <w:tc>
          <w:tcPr>
            <w:tcW w:w="2007" w:type="dxa"/>
            <w:tcBorders>
              <w:top w:val="single" w:sz="8" w:space="0" w:color="000000"/>
              <w:left w:val="single" w:sz="8" w:space="0" w:color="000000"/>
              <w:bottom w:val="single" w:sz="8" w:space="0" w:color="000000"/>
              <w:right w:val="single" w:sz="8" w:space="0" w:color="000000"/>
            </w:tcBorders>
            <w:shd w:val="clear" w:color="auto" w:fill="auto"/>
          </w:tcPr>
          <w:p w14:paraId="643175D7" w14:textId="77777777" w:rsidR="00EF6C40" w:rsidRPr="001D4D22" w:rsidRDefault="00EF6C40" w:rsidP="009420C4">
            <w:pPr>
              <w:jc w:val="center"/>
            </w:pPr>
            <w:r w:rsidRPr="001D4D22">
              <w:rPr>
                <w:rFonts w:ascii="Arial" w:eastAsia="Arial" w:hAnsi="Arial" w:cs="Arial"/>
                <w:color w:val="000000"/>
              </w:rPr>
              <w:t xml:space="preserve">EQS </w:t>
            </w:r>
          </w:p>
        </w:tc>
      </w:tr>
    </w:tbl>
    <w:p w14:paraId="24B39AEF" w14:textId="77777777" w:rsidR="00EF6C40" w:rsidRPr="001D4D22" w:rsidRDefault="00EF6C40" w:rsidP="00EF6C40">
      <w:pPr>
        <w:rPr>
          <w:rFonts w:ascii="Arial" w:eastAsia="Arial" w:hAnsi="Arial" w:cs="Arial"/>
          <w:color w:val="000000"/>
        </w:rPr>
      </w:pPr>
    </w:p>
    <w:p w14:paraId="194B7AF3" w14:textId="77777777" w:rsidR="00EF6C40" w:rsidRPr="001D4D22" w:rsidRDefault="00EF6C40" w:rsidP="00EF6C40">
      <w:pPr>
        <w:rPr>
          <w:rFonts w:ascii="Arial" w:eastAsia="Arial" w:hAnsi="Arial" w:cs="Arial"/>
          <w:color w:val="000000"/>
        </w:rPr>
      </w:pPr>
      <w:r w:rsidRPr="001D4D22">
        <w:rPr>
          <w:rFonts w:ascii="Arial" w:eastAsia="Arial" w:hAnsi="Arial" w:cs="Arial"/>
          <w:b/>
          <w:bCs/>
          <w:color w:val="000000" w:themeColor="text1"/>
        </w:rPr>
        <w:t xml:space="preserve">Table G-3 Standard for Deltamethrin </w:t>
      </w:r>
    </w:p>
    <w:tbl>
      <w:tblPr>
        <w:tblW w:w="0" w:type="auto"/>
        <w:tblInd w:w="40" w:type="dxa"/>
        <w:tblLayout w:type="fixed"/>
        <w:tblLook w:val="0000" w:firstRow="0" w:lastRow="0" w:firstColumn="0" w:lastColumn="0" w:noHBand="0" w:noVBand="0"/>
      </w:tblPr>
      <w:tblGrid>
        <w:gridCol w:w="4934"/>
        <w:gridCol w:w="1860"/>
        <w:gridCol w:w="1901"/>
      </w:tblGrid>
      <w:tr w:rsidR="00EF6C40" w:rsidRPr="001D4D22" w14:paraId="669FE74F" w14:textId="77777777" w:rsidTr="009420C4">
        <w:trPr>
          <w:trHeight w:val="150"/>
        </w:trPr>
        <w:tc>
          <w:tcPr>
            <w:tcW w:w="4934" w:type="dxa"/>
            <w:tcBorders>
              <w:top w:val="single" w:sz="8" w:space="0" w:color="000000"/>
              <w:left w:val="single" w:sz="8" w:space="0" w:color="000000"/>
              <w:bottom w:val="single" w:sz="8" w:space="0" w:color="000000"/>
            </w:tcBorders>
            <w:shd w:val="clear" w:color="auto" w:fill="auto"/>
          </w:tcPr>
          <w:p w14:paraId="7FB8719F"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Timescale</w:t>
            </w:r>
          </w:p>
        </w:tc>
        <w:tc>
          <w:tcPr>
            <w:tcW w:w="1860" w:type="dxa"/>
            <w:tcBorders>
              <w:top w:val="single" w:sz="8" w:space="0" w:color="000000"/>
              <w:left w:val="single" w:sz="8" w:space="0" w:color="000000"/>
              <w:bottom w:val="single" w:sz="8" w:space="0" w:color="000000"/>
            </w:tcBorders>
            <w:shd w:val="clear" w:color="auto" w:fill="auto"/>
          </w:tcPr>
          <w:p w14:paraId="61EBED8D"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Standard</w:t>
            </w:r>
          </w:p>
        </w:tc>
        <w:tc>
          <w:tcPr>
            <w:tcW w:w="1901" w:type="dxa"/>
            <w:tcBorders>
              <w:top w:val="single" w:sz="8" w:space="0" w:color="000000"/>
              <w:left w:val="single" w:sz="8" w:space="0" w:color="000000"/>
              <w:bottom w:val="single" w:sz="8" w:space="0" w:color="000000"/>
              <w:right w:val="single" w:sz="8" w:space="0" w:color="000000"/>
            </w:tcBorders>
            <w:shd w:val="clear" w:color="auto" w:fill="auto"/>
          </w:tcPr>
          <w:p w14:paraId="33051FC0" w14:textId="77777777" w:rsidR="00EF6C40" w:rsidRPr="001D4D22" w:rsidRDefault="00EF6C40" w:rsidP="009420C4">
            <w:pPr>
              <w:jc w:val="center"/>
            </w:pPr>
            <w:r w:rsidRPr="001D4D22">
              <w:rPr>
                <w:rFonts w:ascii="Arial" w:eastAsia="Arial" w:hAnsi="Arial" w:cs="Arial"/>
                <w:color w:val="000000"/>
              </w:rPr>
              <w:t>Type</w:t>
            </w:r>
          </w:p>
        </w:tc>
      </w:tr>
      <w:tr w:rsidR="00EF6C40" w:rsidRPr="001D4D22" w14:paraId="24FC0D39" w14:textId="77777777" w:rsidTr="009420C4">
        <w:trPr>
          <w:trHeight w:val="150"/>
        </w:trPr>
        <w:tc>
          <w:tcPr>
            <w:tcW w:w="4934" w:type="dxa"/>
            <w:tcBorders>
              <w:top w:val="single" w:sz="8" w:space="0" w:color="000000"/>
              <w:left w:val="single" w:sz="8" w:space="0" w:color="000000"/>
              <w:bottom w:val="single" w:sz="8" w:space="0" w:color="000000"/>
            </w:tcBorders>
            <w:shd w:val="clear" w:color="auto" w:fill="auto"/>
          </w:tcPr>
          <w:p w14:paraId="1F79A462"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 xml:space="preserve">6 hours </w:t>
            </w:r>
          </w:p>
        </w:tc>
        <w:tc>
          <w:tcPr>
            <w:tcW w:w="1860" w:type="dxa"/>
            <w:tcBorders>
              <w:top w:val="single" w:sz="8" w:space="0" w:color="000000"/>
              <w:left w:val="single" w:sz="8" w:space="0" w:color="000000"/>
              <w:bottom w:val="single" w:sz="8" w:space="0" w:color="000000"/>
            </w:tcBorders>
            <w:shd w:val="clear" w:color="auto" w:fill="auto"/>
          </w:tcPr>
          <w:p w14:paraId="18A3FF8C" w14:textId="77777777" w:rsidR="00EF6C40" w:rsidRPr="001D4D22" w:rsidRDefault="00EF6C40" w:rsidP="009420C4">
            <w:pPr>
              <w:jc w:val="center"/>
              <w:rPr>
                <w:rFonts w:ascii="Arial" w:eastAsia="Arial" w:hAnsi="Arial" w:cs="Arial"/>
                <w:color w:val="000000"/>
              </w:rPr>
            </w:pPr>
            <w:r w:rsidRPr="001D4D22">
              <w:rPr>
                <w:rFonts w:ascii="Arial" w:eastAsia="Arial" w:hAnsi="Arial" w:cs="Arial"/>
                <w:color w:val="000000"/>
              </w:rPr>
              <w:t>6 ng l</w:t>
            </w:r>
            <w:r w:rsidRPr="001D4D22">
              <w:rPr>
                <w:rFonts w:ascii="Arial" w:eastAsia="Arial" w:hAnsi="Arial" w:cs="Arial"/>
                <w:color w:val="000000"/>
                <w:vertAlign w:val="superscript"/>
              </w:rPr>
              <w:t xml:space="preserve">-1 </w:t>
            </w:r>
          </w:p>
        </w:tc>
        <w:tc>
          <w:tcPr>
            <w:tcW w:w="1901" w:type="dxa"/>
            <w:tcBorders>
              <w:top w:val="single" w:sz="8" w:space="0" w:color="000000"/>
              <w:left w:val="single" w:sz="8" w:space="0" w:color="000000"/>
              <w:bottom w:val="single" w:sz="8" w:space="0" w:color="000000"/>
              <w:right w:val="single" w:sz="8" w:space="0" w:color="000000"/>
            </w:tcBorders>
            <w:shd w:val="clear" w:color="auto" w:fill="auto"/>
          </w:tcPr>
          <w:p w14:paraId="668F5D52" w14:textId="77777777" w:rsidR="00EF6C40" w:rsidRPr="001D4D22" w:rsidRDefault="00EF6C40" w:rsidP="009420C4">
            <w:pPr>
              <w:jc w:val="center"/>
            </w:pPr>
            <w:r w:rsidRPr="001D4D22">
              <w:rPr>
                <w:rFonts w:ascii="Arial" w:eastAsia="Arial" w:hAnsi="Arial" w:cs="Arial"/>
                <w:color w:val="000000"/>
              </w:rPr>
              <w:t xml:space="preserve">EQS </w:t>
            </w:r>
          </w:p>
        </w:tc>
      </w:tr>
    </w:tbl>
    <w:p w14:paraId="749415E7" w14:textId="77777777" w:rsidR="00EF6C40" w:rsidRDefault="00EF6C40" w:rsidP="00EF6C40">
      <w:pPr>
        <w:rPr>
          <w:rFonts w:ascii="Arial" w:eastAsia="Arial" w:hAnsi="Arial" w:cs="Arial"/>
          <w:color w:val="000000"/>
          <w:sz w:val="24"/>
          <w:szCs w:val="24"/>
        </w:rPr>
      </w:pPr>
    </w:p>
    <w:p w14:paraId="701922B8" w14:textId="77777777" w:rsidR="00EF6C40" w:rsidRDefault="00EF6C40" w:rsidP="00EF6C40">
      <w:pPr>
        <w:rPr>
          <w:rFonts w:ascii="Arial" w:hAnsi="Arial" w:cs="Arial"/>
          <w:u w:val="single"/>
        </w:rPr>
      </w:pPr>
      <w:r w:rsidRPr="15E1BD61">
        <w:rPr>
          <w:rFonts w:ascii="Arial" w:eastAsia="Arial" w:hAnsi="Arial" w:cs="Arial"/>
        </w:rPr>
        <w:t xml:space="preserve">Please note: Quantities of Cypermethrin, which are demonstrated to be passing the EQS standard described in table G-2 above, will then be reduced by a factor of 267, in order to comply with the Dec 2018 update to the WAT-SG-53 guidance. </w:t>
      </w:r>
      <w:r w:rsidRPr="001D4D22">
        <w:rPr>
          <w:rFonts w:ascii="Arial" w:eastAsia="Arial" w:hAnsi="Arial" w:cs="Arial"/>
          <w:color w:val="2F5496" w:themeColor="accent1" w:themeShade="BF"/>
        </w:rPr>
        <w:t>(</w:t>
      </w:r>
      <w:hyperlink r:id="rId13">
        <w:r w:rsidRPr="001D4D22">
          <w:rPr>
            <w:rStyle w:val="Hyperlink"/>
            <w:rFonts w:ascii="Helvetica" w:eastAsia="Helvetica" w:hAnsi="Helvetica" w:cs="Helvetica"/>
            <w:color w:val="2F5496" w:themeColor="accent1" w:themeShade="BF"/>
          </w:rPr>
          <w:t>https://marine.gov.scot/sma/content/supporting-guidance-wat-sg-53-environmental-quality-standards-and-standards-discharges</w:t>
        </w:r>
      </w:hyperlink>
      <w:r w:rsidRPr="001D4D22">
        <w:rPr>
          <w:rFonts w:ascii="Arial" w:eastAsia="Arial" w:hAnsi="Arial" w:cs="Arial"/>
          <w:color w:val="2F5496" w:themeColor="accent1" w:themeShade="BF"/>
        </w:rPr>
        <w:t>)</w:t>
      </w:r>
    </w:p>
    <w:p w14:paraId="0F55EAF4" w14:textId="77777777" w:rsidR="00EF6C40" w:rsidRDefault="00EF6C40" w:rsidP="00EF6C40">
      <w:pPr>
        <w:rPr>
          <w:rFonts w:ascii="Arial" w:hAnsi="Arial" w:cs="Arial"/>
          <w:u w:val="single"/>
        </w:rPr>
      </w:pPr>
    </w:p>
    <w:p w14:paraId="6E233ABA" w14:textId="77777777" w:rsidR="00EF6C40" w:rsidRDefault="00EF6C40" w:rsidP="00EF6C40">
      <w:pPr>
        <w:rPr>
          <w:rFonts w:ascii="Arial" w:hAnsi="Arial" w:cs="Arial"/>
          <w:u w:val="single"/>
        </w:rPr>
      </w:pPr>
      <w:r w:rsidRPr="001D4D22">
        <w:rPr>
          <w:rFonts w:ascii="Arial" w:hAnsi="Arial" w:cs="Arial"/>
        </w:rPr>
        <w:t xml:space="preserve">For </w:t>
      </w:r>
      <w:r>
        <w:rPr>
          <w:rFonts w:ascii="Arial" w:hAnsi="Arial" w:cs="Arial"/>
        </w:rPr>
        <w:t>additional</w:t>
      </w:r>
      <w:r w:rsidRPr="001D4D22">
        <w:rPr>
          <w:rFonts w:ascii="Arial" w:hAnsi="Arial" w:cs="Arial"/>
        </w:rPr>
        <w:t xml:space="preserve"> information </w:t>
      </w:r>
      <w:r>
        <w:rPr>
          <w:rFonts w:ascii="Arial" w:hAnsi="Arial" w:cs="Arial"/>
        </w:rPr>
        <w:t xml:space="preserve">on Environmental Quality Standards for bath chemicals </w:t>
      </w:r>
      <w:r w:rsidRPr="001D4D22">
        <w:rPr>
          <w:rFonts w:ascii="Arial" w:hAnsi="Arial" w:cs="Arial"/>
        </w:rPr>
        <w:t xml:space="preserve">please also consult </w:t>
      </w:r>
      <w:r w:rsidRPr="001D4D22">
        <w:rPr>
          <w:rFonts w:ascii="Arial" w:hAnsi="Arial" w:cs="Arial"/>
          <w:i/>
          <w:iCs/>
        </w:rPr>
        <w:t>Models for Assessing the use of Medicines in Bath Treatments</w:t>
      </w:r>
      <w:r w:rsidRPr="001D4D22">
        <w:rPr>
          <w:rFonts w:ascii="Arial" w:hAnsi="Arial" w:cs="Arial"/>
        </w:rPr>
        <w:t>:</w:t>
      </w:r>
      <w:r w:rsidRPr="15E1BD61">
        <w:rPr>
          <w:rFonts w:ascii="Arial" w:hAnsi="Arial" w:cs="Arial"/>
          <w:u w:val="single"/>
        </w:rPr>
        <w:t xml:space="preserve"> </w:t>
      </w:r>
      <w:r w:rsidRPr="001D4D22">
        <w:rPr>
          <w:rFonts w:ascii="Arial" w:hAnsi="Arial" w:cs="Arial"/>
          <w:color w:val="2F5496" w:themeColor="accent1" w:themeShade="BF"/>
          <w:u w:val="single"/>
        </w:rPr>
        <w:t>https://www.sepa.org.uk/media/114774/ffm_anx_g.pdf</w:t>
      </w:r>
    </w:p>
    <w:p w14:paraId="5890D23A" w14:textId="39255813" w:rsidR="00EF6C40" w:rsidRDefault="00EF6C40" w:rsidP="00EF6C40">
      <w:pPr>
        <w:rPr>
          <w:rFonts w:ascii="Arial" w:hAnsi="Arial" w:cs="Arial"/>
          <w:u w:val="single"/>
        </w:rPr>
      </w:pPr>
    </w:p>
    <w:p w14:paraId="68B0A63E" w14:textId="5BE69474" w:rsidR="003F68E0" w:rsidRDefault="003F68E0" w:rsidP="00EF6C40">
      <w:pPr>
        <w:rPr>
          <w:rFonts w:ascii="Arial" w:hAnsi="Arial" w:cs="Arial"/>
          <w:u w:val="single"/>
        </w:rPr>
      </w:pPr>
    </w:p>
    <w:p w14:paraId="37DA109D" w14:textId="5B89E708" w:rsidR="003F68E0" w:rsidRDefault="003F68E0" w:rsidP="00EF6C40">
      <w:pPr>
        <w:rPr>
          <w:rFonts w:ascii="Arial" w:hAnsi="Arial" w:cs="Arial"/>
          <w:u w:val="single"/>
        </w:rPr>
      </w:pPr>
    </w:p>
    <w:p w14:paraId="5470FCC4" w14:textId="0D9DC366" w:rsidR="004C7E63" w:rsidRDefault="004C7E63" w:rsidP="00EF6C40">
      <w:pPr>
        <w:rPr>
          <w:rFonts w:ascii="Arial" w:hAnsi="Arial" w:cs="Arial"/>
          <w:u w:val="single"/>
        </w:rPr>
      </w:pPr>
    </w:p>
    <w:p w14:paraId="785DCB83" w14:textId="77777777" w:rsidR="004C7E63" w:rsidRDefault="004C7E63" w:rsidP="00EF6C40">
      <w:pPr>
        <w:rPr>
          <w:rFonts w:ascii="Arial" w:hAnsi="Arial" w:cs="Arial"/>
          <w:u w:val="single"/>
        </w:rPr>
      </w:pPr>
    </w:p>
    <w:p w14:paraId="46DDE133" w14:textId="77777777" w:rsidR="00EF6C40" w:rsidRDefault="00EF6C40" w:rsidP="00EF6C40">
      <w:pPr>
        <w:rPr>
          <w:rFonts w:ascii="Arial" w:hAnsi="Arial" w:cs="Arial"/>
        </w:rPr>
      </w:pPr>
      <w:r>
        <w:rPr>
          <w:rFonts w:ascii="Arial" w:hAnsi="Arial" w:cs="Arial"/>
          <w:u w:val="single"/>
        </w:rPr>
        <w:lastRenderedPageBreak/>
        <w:t>Solid Waste Modelling</w:t>
      </w:r>
    </w:p>
    <w:p w14:paraId="49152B1B" w14:textId="77777777" w:rsidR="00EF6C40" w:rsidRDefault="00EF6C40" w:rsidP="00EF6C40">
      <w:pPr>
        <w:pStyle w:val="ListParagraph"/>
        <w:numPr>
          <w:ilvl w:val="0"/>
          <w:numId w:val="1"/>
        </w:numPr>
        <w:rPr>
          <w:rFonts w:ascii="Arial" w:hAnsi="Arial" w:cs="Arial"/>
        </w:rPr>
      </w:pPr>
      <w:r w:rsidRPr="32C74732">
        <w:rPr>
          <w:rFonts w:ascii="Arial" w:hAnsi="Arial" w:cs="Arial"/>
        </w:rPr>
        <w:t>Farms should be modelled at peak biomass for the entire period. Peak biomass should be used to calculate solids waste, including waste feed and faeces. Recommended default values are:</w:t>
      </w:r>
    </w:p>
    <w:p w14:paraId="4C2392E2" w14:textId="77777777" w:rsidR="00EF6C40" w:rsidRDefault="00EF6C40" w:rsidP="00EF6C40">
      <w:pPr>
        <w:pStyle w:val="ListParagraph"/>
        <w:numPr>
          <w:ilvl w:val="1"/>
          <w:numId w:val="1"/>
        </w:numPr>
        <w:rPr>
          <w:rFonts w:ascii="Arial" w:hAnsi="Arial" w:cs="Arial"/>
        </w:rPr>
      </w:pPr>
      <w:r>
        <w:rPr>
          <w:rFonts w:ascii="Arial" w:hAnsi="Arial" w:cs="Arial"/>
        </w:rPr>
        <w:t>Feed requirement = 7kg feed per tonne biomass per day</w:t>
      </w:r>
    </w:p>
    <w:p w14:paraId="0BC6CD68" w14:textId="77777777" w:rsidR="00EF6C40" w:rsidRDefault="00EF6C40" w:rsidP="00EF6C40">
      <w:pPr>
        <w:pStyle w:val="ListParagraph"/>
        <w:numPr>
          <w:ilvl w:val="1"/>
          <w:numId w:val="1"/>
        </w:numPr>
        <w:rPr>
          <w:rFonts w:ascii="Arial" w:hAnsi="Arial" w:cs="Arial"/>
        </w:rPr>
      </w:pPr>
      <w:r>
        <w:rPr>
          <w:rFonts w:ascii="Arial" w:hAnsi="Arial" w:cs="Arial"/>
        </w:rPr>
        <w:t>Feed Water Percentage = 9%</w:t>
      </w:r>
    </w:p>
    <w:p w14:paraId="64C2D86F" w14:textId="77777777" w:rsidR="00EF6C40" w:rsidRDefault="00EF6C40" w:rsidP="00EF6C40">
      <w:pPr>
        <w:pStyle w:val="ListParagraph"/>
        <w:numPr>
          <w:ilvl w:val="1"/>
          <w:numId w:val="1"/>
        </w:numPr>
        <w:rPr>
          <w:rFonts w:ascii="Arial" w:hAnsi="Arial" w:cs="Arial"/>
        </w:rPr>
      </w:pPr>
      <w:r>
        <w:rPr>
          <w:rFonts w:ascii="Arial" w:hAnsi="Arial" w:cs="Arial"/>
        </w:rPr>
        <w:t>Feed Waste Percentage = 3%</w:t>
      </w:r>
    </w:p>
    <w:p w14:paraId="21F6095F" w14:textId="77777777" w:rsidR="00EF6C40" w:rsidRDefault="00EF6C40" w:rsidP="00EF6C40">
      <w:pPr>
        <w:pStyle w:val="ListParagraph"/>
        <w:numPr>
          <w:ilvl w:val="1"/>
          <w:numId w:val="1"/>
        </w:numPr>
        <w:rPr>
          <w:rFonts w:ascii="Arial" w:hAnsi="Arial" w:cs="Arial"/>
        </w:rPr>
      </w:pPr>
      <w:r>
        <w:rPr>
          <w:rFonts w:ascii="Arial" w:hAnsi="Arial" w:cs="Arial"/>
        </w:rPr>
        <w:t>Feed Absorbed Percentage = 85%</w:t>
      </w:r>
    </w:p>
    <w:p w14:paraId="76D23C54" w14:textId="77777777" w:rsidR="00EF6C40" w:rsidRDefault="00EF6C40" w:rsidP="00EF6C40">
      <w:pPr>
        <w:pStyle w:val="ListParagraph"/>
        <w:numPr>
          <w:ilvl w:val="1"/>
          <w:numId w:val="1"/>
        </w:numPr>
        <w:rPr>
          <w:rFonts w:ascii="Arial" w:hAnsi="Arial" w:cs="Arial"/>
        </w:rPr>
      </w:pPr>
      <w:r>
        <w:rPr>
          <w:rFonts w:ascii="Arial" w:hAnsi="Arial" w:cs="Arial"/>
        </w:rPr>
        <w:t>Feed Carbon Percentage = 49%</w:t>
      </w:r>
    </w:p>
    <w:p w14:paraId="7A6152E8" w14:textId="77777777" w:rsidR="00EF6C40" w:rsidRDefault="00EF6C40" w:rsidP="00EF6C40">
      <w:pPr>
        <w:pStyle w:val="ListParagraph"/>
        <w:numPr>
          <w:ilvl w:val="1"/>
          <w:numId w:val="1"/>
        </w:numPr>
        <w:rPr>
          <w:rFonts w:ascii="Arial" w:hAnsi="Arial" w:cs="Arial"/>
        </w:rPr>
      </w:pPr>
      <w:r>
        <w:rPr>
          <w:rFonts w:ascii="Arial" w:hAnsi="Arial" w:cs="Arial"/>
        </w:rPr>
        <w:t>Faeces Carbon Percentage = 30%</w:t>
      </w:r>
    </w:p>
    <w:p w14:paraId="02B679CF" w14:textId="77777777" w:rsidR="00EF6C40" w:rsidRDefault="00EF6C40" w:rsidP="00EF6C40">
      <w:pPr>
        <w:pStyle w:val="NoSpacing"/>
        <w:rPr>
          <w:rFonts w:ascii="Arial" w:hAnsi="Arial" w:cs="Arial"/>
          <w:u w:val="single"/>
        </w:rPr>
      </w:pPr>
      <w:r>
        <w:rPr>
          <w:rFonts w:ascii="Arial" w:hAnsi="Arial" w:cs="Arial"/>
        </w:rPr>
        <w:t xml:space="preserve">   </w:t>
      </w:r>
    </w:p>
    <w:p w14:paraId="2D6BA07D" w14:textId="77777777" w:rsidR="00EF6C40" w:rsidRDefault="00EF6C40" w:rsidP="00EF6C40">
      <w:pPr>
        <w:pStyle w:val="NoSpacing"/>
        <w:rPr>
          <w:rFonts w:ascii="Arial" w:hAnsi="Arial" w:cs="Arial"/>
        </w:rPr>
      </w:pPr>
      <w:r>
        <w:rPr>
          <w:rFonts w:ascii="Arial" w:hAnsi="Arial" w:cs="Arial"/>
          <w:u w:val="single"/>
        </w:rPr>
        <w:t>Waste Feed Calculation and Default Parameters:</w:t>
      </w:r>
    </w:p>
    <w:p w14:paraId="14F8AE49" w14:textId="77777777" w:rsidR="00EF6C40" w:rsidRDefault="00EF6C40" w:rsidP="00EF6C40">
      <w:pPr>
        <w:pStyle w:val="NoSpacing"/>
        <w:rPr>
          <w:rFonts w:ascii="Arial" w:hAnsi="Arial" w:cs="Arial"/>
        </w:rPr>
      </w:pPr>
      <w:r>
        <w:rPr>
          <w:rFonts w:ascii="Arial" w:hAnsi="Arial" w:cs="Arial"/>
        </w:rPr>
        <w:t xml:space="preserve"> </w:t>
      </w:r>
    </w:p>
    <w:p w14:paraId="2342ECF4" w14:textId="77777777" w:rsidR="00EF6C40" w:rsidRDefault="00EF6C40" w:rsidP="00EF6C40">
      <w:pPr>
        <w:pStyle w:val="NoSpacing"/>
        <w:rPr>
          <w:rFonts w:ascii="Arial" w:hAnsi="Arial" w:cs="Arial"/>
        </w:rPr>
      </w:pPr>
      <w:r>
        <w:rPr>
          <w:rFonts w:ascii="Arial" w:hAnsi="Arial" w:cs="Arial"/>
        </w:rPr>
        <w:t xml:space="preserve">Waste solids (kg) = (1 – feed water content) x feed wastage rate x feed load (kg) </w:t>
      </w:r>
    </w:p>
    <w:p w14:paraId="59891C96" w14:textId="77777777" w:rsidR="00EF6C40" w:rsidRDefault="00EF6C40" w:rsidP="00EF6C40">
      <w:pPr>
        <w:pStyle w:val="NoSpacing"/>
        <w:rPr>
          <w:rFonts w:ascii="Arial" w:hAnsi="Arial" w:cs="Arial"/>
        </w:rPr>
      </w:pPr>
      <w:r>
        <w:rPr>
          <w:rFonts w:ascii="Arial" w:hAnsi="Arial" w:cs="Arial"/>
        </w:rPr>
        <w:t xml:space="preserve">Typical values for the water content of the feed and the feed wastage rate are 0.09 (i.e. 9%) and 0.03 (3%) respectively. </w:t>
      </w:r>
    </w:p>
    <w:p w14:paraId="7C1A9F6C" w14:textId="77777777" w:rsidR="00EF6C40" w:rsidRDefault="00EF6C40" w:rsidP="00EF6C40">
      <w:pPr>
        <w:pStyle w:val="NoSpacing"/>
        <w:rPr>
          <w:rFonts w:ascii="Arial" w:hAnsi="Arial" w:cs="Arial"/>
        </w:rPr>
      </w:pPr>
    </w:p>
    <w:p w14:paraId="2462F8E2" w14:textId="77777777" w:rsidR="00EF6C40" w:rsidRDefault="00EF6C40" w:rsidP="00EF6C40">
      <w:pPr>
        <w:pStyle w:val="NoSpacing"/>
        <w:rPr>
          <w:rFonts w:ascii="Arial" w:hAnsi="Arial" w:cs="Arial"/>
        </w:rPr>
      </w:pPr>
      <w:r>
        <w:rPr>
          <w:rFonts w:ascii="Arial" w:hAnsi="Arial" w:cs="Arial"/>
        </w:rPr>
        <w:t>Calculating the discharged carbon specifically requires a small addition:</w:t>
      </w:r>
    </w:p>
    <w:p w14:paraId="03F2B951" w14:textId="77777777" w:rsidR="00EF6C40" w:rsidRDefault="00EF6C40" w:rsidP="00EF6C40">
      <w:pPr>
        <w:pStyle w:val="NoSpacing"/>
        <w:rPr>
          <w:rFonts w:ascii="Arial" w:hAnsi="Arial" w:cs="Arial"/>
        </w:rPr>
      </w:pPr>
      <w:r>
        <w:rPr>
          <w:rFonts w:ascii="Arial" w:hAnsi="Arial" w:cs="Arial"/>
        </w:rPr>
        <w:t xml:space="preserve">Waste solids (carbon) (kg) = (1 – feed water content) x feed carbon content x feed wastage rate x feed load (kg) where a typical value for the feed carbon content is 0.49 (49%). </w:t>
      </w:r>
    </w:p>
    <w:p w14:paraId="11BC0948" w14:textId="77777777" w:rsidR="00EF6C40" w:rsidRDefault="00EF6C40" w:rsidP="00EF6C40">
      <w:pPr>
        <w:pStyle w:val="NoSpacing"/>
        <w:rPr>
          <w:rFonts w:ascii="Arial" w:hAnsi="Arial" w:cs="Arial"/>
        </w:rPr>
      </w:pPr>
    </w:p>
    <w:p w14:paraId="75BCD31D" w14:textId="77777777" w:rsidR="00EF6C40" w:rsidRDefault="00EF6C40" w:rsidP="00EF6C40">
      <w:pPr>
        <w:pStyle w:val="NoSpacing"/>
        <w:rPr>
          <w:rFonts w:ascii="Arial" w:hAnsi="Arial" w:cs="Arial"/>
        </w:rPr>
      </w:pPr>
      <w:r>
        <w:rPr>
          <w:rFonts w:ascii="Arial" w:hAnsi="Arial" w:cs="Arial"/>
        </w:rPr>
        <w:t>Excreted Solids Calculation and Default Parameters:</w:t>
      </w:r>
    </w:p>
    <w:p w14:paraId="67FBF612" w14:textId="77777777" w:rsidR="00EF6C40" w:rsidRDefault="00EF6C40" w:rsidP="00EF6C40">
      <w:pPr>
        <w:pStyle w:val="NoSpacing"/>
        <w:rPr>
          <w:rFonts w:ascii="Arial" w:hAnsi="Arial" w:cs="Arial"/>
        </w:rPr>
      </w:pPr>
      <w:r>
        <w:rPr>
          <w:rFonts w:ascii="Arial" w:hAnsi="Arial" w:cs="Arial"/>
        </w:rPr>
        <w:t xml:space="preserve">Excreted solids (kg) = (1 – feed water content) x (1 - feed wastage rate) x (1 - feed absorbed rate) x feed load (kg) where a typical value for the absorption rate is 0.85. </w:t>
      </w:r>
    </w:p>
    <w:p w14:paraId="481BF82A" w14:textId="77777777" w:rsidR="00EF6C40" w:rsidRDefault="00EF6C40" w:rsidP="00EF6C40">
      <w:pPr>
        <w:pStyle w:val="NoSpacing"/>
        <w:rPr>
          <w:rFonts w:ascii="Arial" w:hAnsi="Arial" w:cs="Arial"/>
        </w:rPr>
      </w:pPr>
    </w:p>
    <w:p w14:paraId="740C451C" w14:textId="77777777" w:rsidR="00EF6C40" w:rsidRDefault="00EF6C40" w:rsidP="00EF6C40">
      <w:pPr>
        <w:pStyle w:val="NoSpacing"/>
        <w:rPr>
          <w:rFonts w:ascii="Arial" w:hAnsi="Arial" w:cs="Arial"/>
        </w:rPr>
      </w:pPr>
      <w:r>
        <w:rPr>
          <w:rFonts w:ascii="Arial" w:hAnsi="Arial" w:cs="Arial"/>
        </w:rPr>
        <w:t xml:space="preserve">Calculating the excreted carbon specifically requires a small modification:  </w:t>
      </w:r>
    </w:p>
    <w:p w14:paraId="15C44BEB" w14:textId="77777777" w:rsidR="00EF6C40" w:rsidRDefault="00EF6C40" w:rsidP="00EF6C40">
      <w:pPr>
        <w:pStyle w:val="NoSpacing"/>
        <w:rPr>
          <w:rFonts w:ascii="Arial" w:hAnsi="Arial" w:cs="Arial"/>
          <w:color w:val="228B22"/>
        </w:rPr>
      </w:pPr>
      <w:r>
        <w:rPr>
          <w:rFonts w:ascii="Arial" w:hAnsi="Arial" w:cs="Arial"/>
        </w:rPr>
        <w:t xml:space="preserve">Excreted solids (carbon) (kg) = (1 – feed water content) x (1 - feed wastage rate) x (1 - feed absorbed rate) x faeces carbon content x feed load (kg) where the faecal carbon content is typical taken to be 0.3 (i.e. 30%). </w:t>
      </w:r>
    </w:p>
    <w:p w14:paraId="26A13CE1" w14:textId="77777777" w:rsidR="00EF6C40" w:rsidRDefault="00EF6C40" w:rsidP="00EF6C40">
      <w:pPr>
        <w:pStyle w:val="NoSpacing"/>
        <w:rPr>
          <w:rFonts w:ascii="Arial" w:hAnsi="Arial" w:cs="Arial"/>
          <w:color w:val="228B22"/>
        </w:rPr>
      </w:pPr>
    </w:p>
    <w:p w14:paraId="12A95AA8" w14:textId="77777777" w:rsidR="00EF6C40" w:rsidRDefault="00EF6C40" w:rsidP="00EF6C40">
      <w:pPr>
        <w:spacing w:after="0" w:line="100" w:lineRule="atLeast"/>
        <w:rPr>
          <w:rFonts w:ascii="Arial" w:hAnsi="Arial" w:cs="Arial"/>
        </w:rPr>
      </w:pPr>
    </w:p>
    <w:p w14:paraId="0607AD7C" w14:textId="77777777" w:rsidR="00EF6C40" w:rsidRDefault="00EF6C40" w:rsidP="00EF6C40">
      <w:pPr>
        <w:pStyle w:val="ListParagraph"/>
        <w:ind w:left="1440"/>
        <w:rPr>
          <w:rFonts w:ascii="Arial" w:hAnsi="Arial" w:cs="Arial"/>
        </w:rPr>
      </w:pPr>
    </w:p>
    <w:p w14:paraId="6F972857" w14:textId="77777777" w:rsidR="00EF6C40" w:rsidRDefault="00EF6C40" w:rsidP="00EF6C40">
      <w:pPr>
        <w:pStyle w:val="ListParagraph"/>
        <w:numPr>
          <w:ilvl w:val="0"/>
          <w:numId w:val="1"/>
        </w:numPr>
        <w:rPr>
          <w:rFonts w:ascii="Arial" w:hAnsi="Arial" w:cs="Arial"/>
        </w:rPr>
      </w:pPr>
      <w:r w:rsidRPr="32C74732">
        <w:rPr>
          <w:rFonts w:ascii="Arial" w:hAnsi="Arial" w:cs="Arial"/>
        </w:rPr>
        <w:t>All farms included in SEPA screening modelling should be modelled. Farms identified at screening as having the potential to interact should be included at an appropriate model resolution.</w:t>
      </w:r>
    </w:p>
    <w:p w14:paraId="14F37796" w14:textId="77777777" w:rsidR="00EF6C40" w:rsidRDefault="00EF6C40" w:rsidP="00EF6C40">
      <w:pPr>
        <w:pStyle w:val="ListParagraph"/>
        <w:numPr>
          <w:ilvl w:val="0"/>
          <w:numId w:val="1"/>
        </w:numPr>
        <w:rPr>
          <w:rFonts w:ascii="Arial" w:hAnsi="Arial" w:cs="Arial"/>
        </w:rPr>
      </w:pPr>
      <w:r w:rsidRPr="32C74732">
        <w:rPr>
          <w:rFonts w:ascii="Arial" w:hAnsi="Arial" w:cs="Arial"/>
        </w:rPr>
        <w:t xml:space="preserve">Include a run-up period for the hydrodynamics. Once stable, particles can be added. </w:t>
      </w:r>
    </w:p>
    <w:p w14:paraId="5B3F7135" w14:textId="77777777" w:rsidR="00EF6C40" w:rsidRDefault="00EF6C40" w:rsidP="00EF6C40">
      <w:pPr>
        <w:pStyle w:val="ListParagraph"/>
        <w:numPr>
          <w:ilvl w:val="0"/>
          <w:numId w:val="1"/>
        </w:numPr>
        <w:rPr>
          <w:rFonts w:ascii="Arial" w:hAnsi="Arial" w:cs="Arial"/>
        </w:rPr>
      </w:pPr>
      <w:r w:rsidRPr="32C74732">
        <w:rPr>
          <w:rFonts w:ascii="Arial" w:hAnsi="Arial" w:cs="Arial"/>
        </w:rPr>
        <w:t>Solids particle parameters should be consistent with those used in calibration runs. If solids are uncalibrated, default parameters should be used:</w:t>
      </w:r>
    </w:p>
    <w:p w14:paraId="2BE6F58B" w14:textId="77777777" w:rsidR="00EF6C40" w:rsidRDefault="00EF6C40" w:rsidP="00EF6C40">
      <w:pPr>
        <w:pStyle w:val="ListParagraph"/>
        <w:rPr>
          <w:rFonts w:ascii="Arial" w:hAnsi="Arial" w:cs="Arial"/>
        </w:rPr>
      </w:pPr>
      <w:r>
        <w:rPr>
          <w:rFonts w:ascii="Arial" w:hAnsi="Arial" w:cs="Arial"/>
        </w:rPr>
        <w:tab/>
        <w:t>Decay: 0/s</w:t>
      </w:r>
    </w:p>
    <w:p w14:paraId="56668F91" w14:textId="77777777" w:rsidR="00EF6C40" w:rsidRDefault="00EF6C40" w:rsidP="00EF6C40">
      <w:pPr>
        <w:pStyle w:val="ListParagraph"/>
        <w:rPr>
          <w:rFonts w:ascii="Arial" w:hAnsi="Arial" w:cs="Arial"/>
        </w:rPr>
      </w:pPr>
      <w:r>
        <w:rPr>
          <w:rFonts w:ascii="Arial" w:hAnsi="Arial" w:cs="Arial"/>
        </w:rPr>
        <w:tab/>
        <w:t>Settling Velocity of feed: 0.095m/s (specified directly)</w:t>
      </w:r>
    </w:p>
    <w:p w14:paraId="379E7EC0" w14:textId="25E1F047" w:rsidR="00EF6C40" w:rsidRDefault="00EF6C40" w:rsidP="00EF6C40">
      <w:pPr>
        <w:pStyle w:val="ListParagraph"/>
        <w:ind w:firstLine="720"/>
        <w:rPr>
          <w:rFonts w:ascii="Arial" w:hAnsi="Arial" w:cs="Arial"/>
        </w:rPr>
      </w:pPr>
      <w:r>
        <w:rPr>
          <w:rFonts w:ascii="Arial" w:hAnsi="Arial" w:cs="Arial"/>
        </w:rPr>
        <w:t>Settling Velocity of faeces: 0.</w:t>
      </w:r>
      <w:r w:rsidR="00001553">
        <w:rPr>
          <w:rFonts w:ascii="Arial" w:hAnsi="Arial" w:cs="Arial"/>
        </w:rPr>
        <w:t>032m</w:t>
      </w:r>
      <w:r>
        <w:rPr>
          <w:rFonts w:ascii="Arial" w:hAnsi="Arial" w:cs="Arial"/>
        </w:rPr>
        <w:t>/s (specified directly)</w:t>
      </w:r>
    </w:p>
    <w:p w14:paraId="567153C1" w14:textId="77777777" w:rsidR="00EF6C40" w:rsidRDefault="00EF6C40" w:rsidP="00EF6C40">
      <w:pPr>
        <w:pStyle w:val="ListParagraph"/>
        <w:rPr>
          <w:rFonts w:ascii="Arial" w:hAnsi="Arial" w:cs="Arial"/>
        </w:rPr>
      </w:pPr>
      <w:r>
        <w:rPr>
          <w:rFonts w:ascii="Arial" w:hAnsi="Arial" w:cs="Arial"/>
        </w:rPr>
        <w:tab/>
        <w:t>Horizontal Dispersion: 0.1 m</w:t>
      </w:r>
      <w:r>
        <w:rPr>
          <w:rFonts w:ascii="Arial" w:hAnsi="Arial" w:cs="Arial"/>
          <w:vertAlign w:val="superscript"/>
        </w:rPr>
        <w:t>2</w:t>
      </w:r>
      <w:r>
        <w:rPr>
          <w:rFonts w:ascii="Arial" w:hAnsi="Arial" w:cs="Arial"/>
        </w:rPr>
        <w:t>/s</w:t>
      </w:r>
    </w:p>
    <w:p w14:paraId="54A7024E" w14:textId="77777777" w:rsidR="00EF6C40" w:rsidRDefault="00EF6C40" w:rsidP="00EF6C40">
      <w:pPr>
        <w:pStyle w:val="ListParagraph"/>
        <w:rPr>
          <w:rFonts w:ascii="Arial" w:hAnsi="Arial" w:cs="Arial"/>
        </w:rPr>
      </w:pPr>
      <w:r>
        <w:rPr>
          <w:rFonts w:ascii="Arial" w:hAnsi="Arial" w:cs="Arial"/>
        </w:rPr>
        <w:tab/>
        <w:t>Vertical Dispersion: 0.001 m</w:t>
      </w:r>
      <w:r>
        <w:rPr>
          <w:rFonts w:ascii="Arial" w:hAnsi="Arial" w:cs="Arial"/>
          <w:vertAlign w:val="superscript"/>
        </w:rPr>
        <w:t>2</w:t>
      </w:r>
      <w:r>
        <w:rPr>
          <w:rFonts w:ascii="Arial" w:hAnsi="Arial" w:cs="Arial"/>
        </w:rPr>
        <w:t>/s</w:t>
      </w:r>
    </w:p>
    <w:p w14:paraId="26105975" w14:textId="77777777" w:rsidR="00EF6C40" w:rsidRDefault="00EF6C40" w:rsidP="00EF6C40">
      <w:pPr>
        <w:pStyle w:val="ListParagraph"/>
        <w:rPr>
          <w:rFonts w:ascii="Arial" w:hAnsi="Arial" w:cs="Arial"/>
        </w:rPr>
      </w:pPr>
      <w:r>
        <w:rPr>
          <w:rFonts w:ascii="Arial" w:hAnsi="Arial" w:cs="Arial"/>
        </w:rPr>
        <w:lastRenderedPageBreak/>
        <w:tab/>
        <w:t>Erosion Threshold: 0.02 N/m</w:t>
      </w:r>
      <w:r>
        <w:rPr>
          <w:rFonts w:ascii="Arial" w:hAnsi="Arial" w:cs="Arial"/>
          <w:vertAlign w:val="superscript"/>
        </w:rPr>
        <w:t>2</w:t>
      </w:r>
      <w:r>
        <w:rPr>
          <w:rFonts w:ascii="Arial" w:hAnsi="Arial" w:cs="Arial"/>
        </w:rPr>
        <w:t>/s</w:t>
      </w:r>
    </w:p>
    <w:p w14:paraId="5C449F4A" w14:textId="77777777" w:rsidR="00EF6C40" w:rsidRDefault="00EF6C40" w:rsidP="00EF6C40">
      <w:pPr>
        <w:pStyle w:val="ListParagraph"/>
        <w:numPr>
          <w:ilvl w:val="0"/>
          <w:numId w:val="1"/>
        </w:numPr>
        <w:rPr>
          <w:rFonts w:ascii="Arial" w:hAnsi="Arial" w:cs="Arial"/>
        </w:rPr>
      </w:pPr>
      <w:r w:rsidRPr="32C74732">
        <w:rPr>
          <w:rFonts w:ascii="Arial" w:hAnsi="Arial" w:cs="Arial"/>
        </w:rPr>
        <w:t>The model should be run for 365 days (not including the run-up period).</w:t>
      </w:r>
    </w:p>
    <w:p w14:paraId="4F9FC627" w14:textId="77777777" w:rsidR="00EF6C40" w:rsidRDefault="00EF6C40" w:rsidP="00EF6C40">
      <w:pPr>
        <w:pStyle w:val="ListParagraph"/>
        <w:numPr>
          <w:ilvl w:val="0"/>
          <w:numId w:val="1"/>
        </w:numPr>
        <w:rPr>
          <w:rFonts w:ascii="Arial" w:hAnsi="Arial" w:cs="Arial"/>
        </w:rPr>
      </w:pPr>
      <w:r w:rsidRPr="32C74732">
        <w:rPr>
          <w:rFonts w:ascii="Arial" w:hAnsi="Arial" w:cs="Arial"/>
        </w:rPr>
        <w:t>Runs should start and finish in summer, as a precaution against impacts of storm events, towards the peak deposition period.</w:t>
      </w:r>
    </w:p>
    <w:p w14:paraId="3F81B211" w14:textId="77777777" w:rsidR="00EF6C40" w:rsidRDefault="00EF6C40" w:rsidP="00EF6C40">
      <w:pPr>
        <w:pStyle w:val="ListParagraph"/>
        <w:numPr>
          <w:ilvl w:val="0"/>
          <w:numId w:val="1"/>
        </w:numPr>
        <w:rPr>
          <w:rFonts w:ascii="Arial" w:hAnsi="Arial" w:cs="Arial"/>
        </w:rPr>
      </w:pPr>
      <w:r w:rsidRPr="32C74732">
        <w:rPr>
          <w:rFonts w:ascii="Arial" w:hAnsi="Arial" w:cs="Arial"/>
        </w:rPr>
        <w:t>Output should include:</w:t>
      </w:r>
    </w:p>
    <w:p w14:paraId="6D98FF3A" w14:textId="77777777" w:rsidR="00EF6C40" w:rsidRDefault="00EF6C40" w:rsidP="00EF6C40">
      <w:pPr>
        <w:pStyle w:val="ListParagraph"/>
        <w:numPr>
          <w:ilvl w:val="1"/>
          <w:numId w:val="1"/>
        </w:numPr>
        <w:rPr>
          <w:rFonts w:ascii="Arial" w:hAnsi="Arial" w:cs="Arial"/>
        </w:rPr>
      </w:pPr>
      <w:r>
        <w:rPr>
          <w:rFonts w:ascii="Arial" w:hAnsi="Arial" w:cs="Arial"/>
        </w:rPr>
        <w:t>Plots showing the extent and concentration of impact, as an average, taken over the last 90 days of the model run. (N.B.  This is the approach taken in our default NewDepomod recommendations).</w:t>
      </w:r>
    </w:p>
    <w:p w14:paraId="21845819" w14:textId="77777777" w:rsidR="00EF6C40" w:rsidRDefault="00EF6C40" w:rsidP="00EF6C40">
      <w:pPr>
        <w:pStyle w:val="ListParagraph"/>
        <w:numPr>
          <w:ilvl w:val="1"/>
          <w:numId w:val="1"/>
        </w:numPr>
        <w:rPr>
          <w:rFonts w:ascii="Arial" w:hAnsi="Arial" w:cs="Arial"/>
        </w:rPr>
      </w:pPr>
      <w:r>
        <w:rPr>
          <w:rFonts w:ascii="Arial" w:hAnsi="Arial" w:cs="Arial"/>
        </w:rPr>
        <w:t>Areal extent and average concentration, averaged over the last 90 days of the model run.</w:t>
      </w:r>
    </w:p>
    <w:p w14:paraId="2F9AE44C" w14:textId="77777777" w:rsidR="00037F98" w:rsidRDefault="00037F98" w:rsidP="00037F98">
      <w:pPr>
        <w:pStyle w:val="ListParagraph"/>
        <w:numPr>
          <w:ilvl w:val="1"/>
          <w:numId w:val="1"/>
        </w:numPr>
        <w:rPr>
          <w:rFonts w:ascii="Arial" w:hAnsi="Arial" w:cs="Arial"/>
        </w:rPr>
      </w:pPr>
      <w:r>
        <w:rPr>
          <w:rFonts w:ascii="Arial" w:hAnsi="Arial" w:cs="Arial"/>
        </w:rPr>
        <w:t>Time series of maximum and average concentrations for the entire model run period.</w:t>
      </w:r>
    </w:p>
    <w:p w14:paraId="0F393E01" w14:textId="77777777" w:rsidR="00EF6C40" w:rsidRDefault="00EF6C40" w:rsidP="00EF6C40">
      <w:pPr>
        <w:pStyle w:val="ListParagraph"/>
        <w:numPr>
          <w:ilvl w:val="1"/>
          <w:numId w:val="1"/>
        </w:numPr>
        <w:rPr>
          <w:rFonts w:ascii="Arial" w:hAnsi="Arial" w:cs="Arial"/>
        </w:rPr>
      </w:pPr>
      <w:r>
        <w:rPr>
          <w:rFonts w:ascii="Arial" w:hAnsi="Arial" w:cs="Arial"/>
        </w:rPr>
        <w:t>Time series of areal extent at the 250g/m</w:t>
      </w:r>
      <w:r>
        <w:rPr>
          <w:rFonts w:ascii="Arial" w:hAnsi="Arial" w:cs="Arial"/>
          <w:vertAlign w:val="superscript"/>
        </w:rPr>
        <w:t>2</w:t>
      </w:r>
      <w:r>
        <w:rPr>
          <w:rFonts w:ascii="Arial" w:hAnsi="Arial" w:cs="Arial"/>
        </w:rPr>
        <w:t xml:space="preserve"> contour of deposited material. </w:t>
      </w:r>
    </w:p>
    <w:p w14:paraId="220C5F3E" w14:textId="77777777" w:rsidR="00EF6C40" w:rsidRDefault="00EF6C40" w:rsidP="00EF6C40">
      <w:pPr>
        <w:pStyle w:val="ListParagraph"/>
        <w:numPr>
          <w:ilvl w:val="1"/>
          <w:numId w:val="1"/>
        </w:numPr>
        <w:rPr>
          <w:rFonts w:ascii="Arial" w:hAnsi="Arial" w:cs="Arial"/>
        </w:rPr>
      </w:pPr>
      <w:r>
        <w:rPr>
          <w:rFonts w:ascii="Arial" w:hAnsi="Arial" w:cs="Arial"/>
        </w:rPr>
        <w:t>Output should be provided for both the suspended and deposited solids</w:t>
      </w:r>
    </w:p>
    <w:p w14:paraId="4FAE8DD0" w14:textId="77777777" w:rsidR="00EF6C40" w:rsidRDefault="00EF6C40" w:rsidP="00EF6C40">
      <w:pPr>
        <w:rPr>
          <w:rFonts w:ascii="Arial" w:hAnsi="Arial" w:cs="Arial"/>
        </w:rPr>
      </w:pPr>
    </w:p>
    <w:p w14:paraId="7683388E" w14:textId="77777777" w:rsidR="00EF6C40" w:rsidRDefault="00EF6C40" w:rsidP="00EF6C40">
      <w:pPr>
        <w:rPr>
          <w:rFonts w:ascii="Arial" w:hAnsi="Arial" w:cs="Arial"/>
        </w:rPr>
      </w:pPr>
      <w:r>
        <w:rPr>
          <w:rFonts w:ascii="Arial" w:hAnsi="Arial" w:cs="Arial"/>
          <w:u w:val="single"/>
        </w:rPr>
        <w:t>Sensitive Features (Including Other Farms)</w:t>
      </w:r>
    </w:p>
    <w:p w14:paraId="231D912E" w14:textId="77777777" w:rsidR="00EF6C40" w:rsidRDefault="00EF6C40" w:rsidP="00EF6C40">
      <w:pPr>
        <w:rPr>
          <w:rFonts w:ascii="Arial" w:hAnsi="Arial" w:cs="Arial"/>
        </w:rPr>
      </w:pPr>
      <w:r>
        <w:rPr>
          <w:rFonts w:ascii="Arial" w:hAnsi="Arial" w:cs="Arial"/>
        </w:rPr>
        <w:t xml:space="preserve">Sensitive features may also be highlighted during screening as potentially at risk from bath medicines, solids or both. These should be addressed in the marine modelling. </w:t>
      </w:r>
    </w:p>
    <w:p w14:paraId="40575346" w14:textId="77777777" w:rsidR="00EF6C40" w:rsidRDefault="00EF6C40" w:rsidP="00EF6C40">
      <w:pPr>
        <w:pStyle w:val="ListParagraph"/>
        <w:numPr>
          <w:ilvl w:val="0"/>
          <w:numId w:val="1"/>
        </w:numPr>
        <w:rPr>
          <w:rFonts w:ascii="Arial" w:hAnsi="Arial" w:cs="Arial"/>
        </w:rPr>
      </w:pPr>
      <w:r w:rsidRPr="32C74732">
        <w:rPr>
          <w:rFonts w:ascii="Arial" w:hAnsi="Arial" w:cs="Arial"/>
        </w:rPr>
        <w:t>Output should include:</w:t>
      </w:r>
    </w:p>
    <w:p w14:paraId="71227BCB" w14:textId="77777777" w:rsidR="00EF6C40" w:rsidRDefault="00EF6C40" w:rsidP="00EF6C40">
      <w:pPr>
        <w:pStyle w:val="ListParagraph"/>
        <w:numPr>
          <w:ilvl w:val="1"/>
          <w:numId w:val="1"/>
        </w:numPr>
        <w:rPr>
          <w:rFonts w:ascii="Arial" w:hAnsi="Arial" w:cs="Arial"/>
        </w:rPr>
      </w:pPr>
      <w:r>
        <w:rPr>
          <w:rFonts w:ascii="Arial" w:hAnsi="Arial" w:cs="Arial"/>
        </w:rPr>
        <w:t xml:space="preserve">Plots, with features overlaid, showing the extent and concentration of impact, for the various timescales required.  </w:t>
      </w:r>
    </w:p>
    <w:p w14:paraId="52F41301" w14:textId="77777777" w:rsidR="00EF6C40" w:rsidRDefault="00EF6C40" w:rsidP="00EF6C40">
      <w:pPr>
        <w:pStyle w:val="ListParagraph"/>
        <w:numPr>
          <w:ilvl w:val="1"/>
          <w:numId w:val="1"/>
        </w:numPr>
        <w:rPr>
          <w:rFonts w:ascii="Arial" w:hAnsi="Arial" w:cs="Arial"/>
        </w:rPr>
      </w:pPr>
      <w:r>
        <w:rPr>
          <w:rFonts w:ascii="Arial" w:hAnsi="Arial" w:cs="Arial"/>
        </w:rPr>
        <w:t xml:space="preserve">Time series of concentration at the sensitive feature point (or polygon centre).  A moving average of raw data may also be overlaid. </w:t>
      </w:r>
    </w:p>
    <w:p w14:paraId="7889FBBB" w14:textId="77777777" w:rsidR="00EF6C40" w:rsidRDefault="00EF6C40" w:rsidP="00EF6C40">
      <w:pPr>
        <w:pStyle w:val="ListParagraph"/>
        <w:numPr>
          <w:ilvl w:val="1"/>
          <w:numId w:val="1"/>
        </w:numPr>
        <w:rPr>
          <w:rFonts w:ascii="Arial" w:hAnsi="Arial" w:cs="Arial"/>
        </w:rPr>
      </w:pPr>
      <w:r w:rsidRPr="6B1090D9">
        <w:rPr>
          <w:rFonts w:ascii="Arial" w:hAnsi="Arial" w:cs="Arial"/>
        </w:rPr>
        <w:t xml:space="preserve">Depth profile at each EQS for baths, and averaged over 90 days for solids, at the sensitive feature point (or polygon centre).  A spatial average may be presented in addition to this. </w:t>
      </w:r>
    </w:p>
    <w:p w14:paraId="608B2420" w14:textId="77777777" w:rsidR="00EF6C40" w:rsidRDefault="00EF6C40" w:rsidP="00EF6C40">
      <w:pPr>
        <w:rPr>
          <w:rFonts w:ascii="Arial" w:hAnsi="Arial" w:cs="Arial"/>
        </w:rPr>
      </w:pPr>
    </w:p>
    <w:p w14:paraId="54F5CEBE" w14:textId="77777777" w:rsidR="00EF6C40" w:rsidRDefault="00EF6C40" w:rsidP="00EF6C40">
      <w:pPr>
        <w:rPr>
          <w:rFonts w:ascii="Arial" w:hAnsi="Arial" w:cs="Arial"/>
        </w:rPr>
      </w:pPr>
      <w:r>
        <w:rPr>
          <w:rFonts w:ascii="Arial" w:hAnsi="Arial" w:cs="Arial"/>
          <w:u w:val="single"/>
        </w:rPr>
        <w:t>Model Grid resolution:</w:t>
      </w:r>
    </w:p>
    <w:p w14:paraId="7509372C" w14:textId="77777777" w:rsidR="00EF6C40" w:rsidRDefault="00EF6C40" w:rsidP="00EF6C40">
      <w:r w:rsidRPr="6B1090D9">
        <w:rPr>
          <w:rFonts w:ascii="Arial" w:hAnsi="Arial" w:cs="Arial"/>
        </w:rPr>
        <w:t xml:space="preserve">The chosen model grid resolution should be fine enough to resolve the cages and sensitive feature points (if applicable).  The maximum grid resolution around the farms should be 50-55m, but a finer resolution down to 25m (the mean is 36m) has shown to be effective in the past. A fine resolution grid resolution is especially important if the flow outputted from the Marine Model is to be used in NewDepomod in conjunction with variable bathymetry. </w:t>
      </w:r>
    </w:p>
    <w:p w14:paraId="1FD24339" w14:textId="77777777" w:rsidR="00E9612A" w:rsidRDefault="00C772AC"/>
    <w:sectPr w:rsidR="00E9612A">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D5261" w14:textId="77777777" w:rsidR="00C772AC" w:rsidRDefault="00C772AC" w:rsidP="00EF6C40">
      <w:pPr>
        <w:spacing w:after="0" w:line="240" w:lineRule="auto"/>
      </w:pPr>
      <w:r>
        <w:separator/>
      </w:r>
    </w:p>
  </w:endnote>
  <w:endnote w:type="continuationSeparator" w:id="0">
    <w:p w14:paraId="158293B2" w14:textId="77777777" w:rsidR="00C772AC" w:rsidRDefault="00C772AC" w:rsidP="00EF6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685">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91E60" w14:textId="7BCA3943" w:rsidR="00EF6C40" w:rsidRDefault="00037F98">
    <w:pPr>
      <w:pStyle w:val="Footer"/>
    </w:pPr>
    <w:r>
      <w:rPr>
        <w:noProof/>
      </w:rPr>
      <mc:AlternateContent>
        <mc:Choice Requires="wps">
          <w:drawing>
            <wp:anchor distT="0" distB="0" distL="114300" distR="114300" simplePos="0" relativeHeight="251662336" behindDoc="0" locked="0" layoutInCell="0" allowOverlap="1" wp14:anchorId="1803BF3F" wp14:editId="48741DEF">
              <wp:simplePos x="0" y="0"/>
              <wp:positionH relativeFrom="page">
                <wp:posOffset>0</wp:posOffset>
              </wp:positionH>
              <wp:positionV relativeFrom="page">
                <wp:posOffset>10228580</wp:posOffset>
              </wp:positionV>
              <wp:extent cx="7560310" cy="273050"/>
              <wp:effectExtent l="0" t="0" r="0" b="12700"/>
              <wp:wrapNone/>
              <wp:docPr id="8" name="MSIPCM1fe14b37a0ed2ce5c5b215fb" descr="{&quot;HashCode&quot;:-10468248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CDC851" w14:textId="55C28040" w:rsidR="00037F98" w:rsidRPr="005C47B8" w:rsidRDefault="005C47B8" w:rsidP="005C47B8">
                          <w:pPr>
                            <w:spacing w:after="0"/>
                            <w:jc w:val="center"/>
                            <w:rPr>
                              <w:rFonts w:cs="Calibri"/>
                              <w:color w:val="0000FF"/>
                              <w:sz w:val="20"/>
                            </w:rPr>
                          </w:pPr>
                          <w:r w:rsidRPr="005C47B8">
                            <w:rPr>
                              <w:rFonts w:cs="Calibri"/>
                              <w:color w:val="0000FF"/>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803BF3F" id="_x0000_t202" coordsize="21600,21600" o:spt="202" path="m,l,21600r21600,l21600,xe">
              <v:stroke joinstyle="miter"/>
              <v:path gradientshapeok="t" o:connecttype="rect"/>
            </v:shapetype>
            <v:shape id="MSIPCM1fe14b37a0ed2ce5c5b215fb" o:spid="_x0000_s1027" type="#_x0000_t202" alt="{&quot;HashCode&quot;:-104682480,&quot;Height&quot;:841.0,&quot;Width&quot;:595.0,&quot;Placement&quot;:&quot;Footer&quot;,&quot;Index&quot;:&quot;Primary&quot;,&quot;Section&quot;:1,&quot;Top&quot;:0.0,&quot;Left&quot;:0.0}" style="position:absolute;margin-left:0;margin-top:805.4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" o:allowincell="f" filled="f" stroked="f" strokeweight=".5pt">
              <v:textbox inset=",0,,0">
                <w:txbxContent>
                  <w:p w14:paraId="5BCDC851" w14:textId="55C28040" w:rsidR="00037F98" w:rsidRPr="005C47B8" w:rsidRDefault="005C47B8" w:rsidP="005C47B8">
                    <w:pPr>
                      <w:spacing w:after="0"/>
                      <w:jc w:val="center"/>
                      <w:rPr>
                        <w:rFonts w:cs="Calibri"/>
                        <w:color w:val="0000FF"/>
                        <w:sz w:val="20"/>
                      </w:rPr>
                    </w:pPr>
                    <w:r w:rsidRPr="005C47B8">
                      <w:rPr>
                        <w:rFonts w:cs="Calibri"/>
                        <w:color w:val="0000FF"/>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2926B" w14:textId="77777777" w:rsidR="00C772AC" w:rsidRDefault="00C772AC" w:rsidP="00EF6C40">
      <w:pPr>
        <w:spacing w:after="0" w:line="240" w:lineRule="auto"/>
      </w:pPr>
      <w:r>
        <w:separator/>
      </w:r>
    </w:p>
  </w:footnote>
  <w:footnote w:type="continuationSeparator" w:id="0">
    <w:p w14:paraId="530BF800" w14:textId="77777777" w:rsidR="00C772AC" w:rsidRDefault="00C772AC" w:rsidP="00EF6C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6AA8" w14:textId="6F3A6681" w:rsidR="00EF6C40" w:rsidRDefault="00037F98">
    <w:pPr>
      <w:pStyle w:val="Header"/>
    </w:pPr>
    <w:r>
      <w:rPr>
        <w:noProof/>
      </w:rPr>
      <mc:AlternateContent>
        <mc:Choice Requires="wps">
          <w:drawing>
            <wp:anchor distT="0" distB="0" distL="114300" distR="114300" simplePos="0" relativeHeight="251661312" behindDoc="0" locked="0" layoutInCell="0" allowOverlap="1" wp14:anchorId="2E7B43E6" wp14:editId="06F45763">
              <wp:simplePos x="0" y="0"/>
              <wp:positionH relativeFrom="page">
                <wp:posOffset>0</wp:posOffset>
              </wp:positionH>
              <wp:positionV relativeFrom="page">
                <wp:posOffset>190500</wp:posOffset>
              </wp:positionV>
              <wp:extent cx="7560310" cy="273050"/>
              <wp:effectExtent l="0" t="0" r="0" b="12700"/>
              <wp:wrapNone/>
              <wp:docPr id="7" name="MSIPCM6bd148e5ab8ad9c8d455e48e" descr="{&quot;HashCode&quot;:-12882004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EAF93" w14:textId="600E1C3E" w:rsidR="00037F98" w:rsidRPr="005C47B8" w:rsidRDefault="005C47B8" w:rsidP="005C47B8">
                          <w:pPr>
                            <w:spacing w:after="0"/>
                            <w:jc w:val="center"/>
                            <w:rPr>
                              <w:rFonts w:cs="Calibri"/>
                              <w:color w:val="0000FF"/>
                              <w:sz w:val="20"/>
                            </w:rPr>
                          </w:pPr>
                          <w:r w:rsidRPr="005C47B8">
                            <w:rPr>
                              <w:rFonts w:cs="Calibri"/>
                              <w:color w:val="0000FF"/>
                              <w:sz w:val="20"/>
                            </w:rPr>
                            <w:t>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E7B43E6" id="_x0000_t202" coordsize="21600,21600" o:spt="202" path="m,l,21600r21600,l21600,xe">
              <v:stroke joinstyle="miter"/>
              <v:path gradientshapeok="t" o:connecttype="rect"/>
            </v:shapetype>
            <v:shape id="MSIPCM6bd148e5ab8ad9c8d455e48e" o:spid="_x0000_s1026" type="#_x0000_t202" alt="{&quot;HashCode&quot;:-128820049,&quot;Height&quot;:841.0,&quot;Width&quot;:595.0,&quot;Placement&quot;:&quot;Header&quot;,&quot;Index&quot;:&quot;Primary&quot;,&quot;Section&quot;:1,&quot;Top&quot;:0.0,&quot;Left&quot;:0.0}" style="position:absolute;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791EAF93" w14:textId="600E1C3E" w:rsidR="00037F98" w:rsidRPr="005C47B8" w:rsidRDefault="005C47B8" w:rsidP="005C47B8">
                    <w:pPr>
                      <w:spacing w:after="0"/>
                      <w:jc w:val="center"/>
                      <w:rPr>
                        <w:rFonts w:cs="Calibri"/>
                        <w:color w:val="0000FF"/>
                        <w:sz w:val="20"/>
                      </w:rPr>
                    </w:pPr>
                    <w:r w:rsidRPr="005C47B8">
                      <w:rPr>
                        <w:rFonts w:cs="Calibri"/>
                        <w:color w:val="0000FF"/>
                        <w:sz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898BBE2"/>
    <w:name w:val="WW8Num1"/>
    <w:lvl w:ilvl="0" w:tplc="3BEC3B7C">
      <w:start w:val="1"/>
      <w:numFmt w:val="bullet"/>
      <w:lvlText w:val=""/>
      <w:lvlJc w:val="left"/>
      <w:pPr>
        <w:tabs>
          <w:tab w:val="num" w:pos="0"/>
        </w:tabs>
        <w:ind w:left="720" w:hanging="360"/>
      </w:pPr>
      <w:rPr>
        <w:rFonts w:ascii="Symbol" w:hAnsi="Symbol" w:hint="default"/>
        <w:color w:val="auto"/>
        <w:lang w:val="en-US"/>
      </w:rPr>
    </w:lvl>
    <w:lvl w:ilvl="1" w:tplc="BCD0E79A">
      <w:start w:val="1"/>
      <w:numFmt w:val="bullet"/>
      <w:lvlText w:val="o"/>
      <w:lvlJc w:val="left"/>
      <w:pPr>
        <w:tabs>
          <w:tab w:val="num" w:pos="0"/>
        </w:tabs>
        <w:ind w:left="1440" w:hanging="360"/>
      </w:pPr>
      <w:rPr>
        <w:rFonts w:ascii="Courier New" w:hAnsi="Courier New" w:hint="default"/>
        <w:lang w:val="en-US"/>
      </w:rPr>
    </w:lvl>
    <w:lvl w:ilvl="2" w:tplc="B1D24DD6">
      <w:start w:val="1"/>
      <w:numFmt w:val="bullet"/>
      <w:lvlText w:val=""/>
      <w:lvlJc w:val="left"/>
      <w:pPr>
        <w:tabs>
          <w:tab w:val="num" w:pos="0"/>
        </w:tabs>
        <w:ind w:left="2160" w:hanging="360"/>
      </w:pPr>
      <w:rPr>
        <w:rFonts w:ascii="Wingdings" w:hAnsi="Wingdings" w:hint="default"/>
      </w:rPr>
    </w:lvl>
    <w:lvl w:ilvl="3" w:tplc="7B4C8B66">
      <w:start w:val="1"/>
      <w:numFmt w:val="bullet"/>
      <w:lvlText w:val=""/>
      <w:lvlJc w:val="left"/>
      <w:pPr>
        <w:tabs>
          <w:tab w:val="num" w:pos="0"/>
        </w:tabs>
        <w:ind w:left="2880" w:hanging="360"/>
      </w:pPr>
      <w:rPr>
        <w:rFonts w:ascii="Symbol" w:hAnsi="Symbol" w:hint="default"/>
        <w:lang w:val="en-US"/>
      </w:rPr>
    </w:lvl>
    <w:lvl w:ilvl="4" w:tplc="3EA6DB00">
      <w:start w:val="1"/>
      <w:numFmt w:val="bullet"/>
      <w:lvlText w:val="o"/>
      <w:lvlJc w:val="left"/>
      <w:pPr>
        <w:tabs>
          <w:tab w:val="num" w:pos="0"/>
        </w:tabs>
        <w:ind w:left="3600" w:hanging="360"/>
      </w:pPr>
      <w:rPr>
        <w:rFonts w:ascii="Courier New" w:hAnsi="Courier New" w:hint="default"/>
        <w:lang w:val="en-US"/>
      </w:rPr>
    </w:lvl>
    <w:lvl w:ilvl="5" w:tplc="37483DFC">
      <w:start w:val="1"/>
      <w:numFmt w:val="bullet"/>
      <w:lvlText w:val=""/>
      <w:lvlJc w:val="left"/>
      <w:pPr>
        <w:tabs>
          <w:tab w:val="num" w:pos="0"/>
        </w:tabs>
        <w:ind w:left="4320" w:hanging="360"/>
      </w:pPr>
      <w:rPr>
        <w:rFonts w:ascii="Wingdings" w:hAnsi="Wingdings" w:hint="default"/>
      </w:rPr>
    </w:lvl>
    <w:lvl w:ilvl="6" w:tplc="613C95A2">
      <w:start w:val="1"/>
      <w:numFmt w:val="bullet"/>
      <w:lvlText w:val=""/>
      <w:lvlJc w:val="left"/>
      <w:pPr>
        <w:tabs>
          <w:tab w:val="num" w:pos="0"/>
        </w:tabs>
        <w:ind w:left="5040" w:hanging="360"/>
      </w:pPr>
      <w:rPr>
        <w:rFonts w:ascii="Symbol" w:hAnsi="Symbol" w:hint="default"/>
        <w:lang w:val="en-US"/>
      </w:rPr>
    </w:lvl>
    <w:lvl w:ilvl="7" w:tplc="0E308D80">
      <w:start w:val="1"/>
      <w:numFmt w:val="bullet"/>
      <w:lvlText w:val="o"/>
      <w:lvlJc w:val="left"/>
      <w:pPr>
        <w:tabs>
          <w:tab w:val="num" w:pos="0"/>
        </w:tabs>
        <w:ind w:left="5760" w:hanging="360"/>
      </w:pPr>
      <w:rPr>
        <w:rFonts w:ascii="Courier New" w:hAnsi="Courier New" w:hint="default"/>
        <w:lang w:val="en-US"/>
      </w:rPr>
    </w:lvl>
    <w:lvl w:ilvl="8" w:tplc="E8C8D3D2">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414D6782"/>
    <w:multiLevelType w:val="hybridMultilevel"/>
    <w:tmpl w:val="4C223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C40"/>
    <w:rsid w:val="00001553"/>
    <w:rsid w:val="000123FC"/>
    <w:rsid w:val="000239E6"/>
    <w:rsid w:val="00035FE2"/>
    <w:rsid w:val="00037F98"/>
    <w:rsid w:val="00051D34"/>
    <w:rsid w:val="00057E45"/>
    <w:rsid w:val="00087099"/>
    <w:rsid w:val="000A678B"/>
    <w:rsid w:val="000E0A46"/>
    <w:rsid w:val="000E16EE"/>
    <w:rsid w:val="0010763D"/>
    <w:rsid w:val="0012779A"/>
    <w:rsid w:val="00154B55"/>
    <w:rsid w:val="001920AD"/>
    <w:rsid w:val="0019439A"/>
    <w:rsid w:val="001C23B9"/>
    <w:rsid w:val="001D28BE"/>
    <w:rsid w:val="001D6079"/>
    <w:rsid w:val="001D7629"/>
    <w:rsid w:val="001E33DF"/>
    <w:rsid w:val="002128AA"/>
    <w:rsid w:val="002845BB"/>
    <w:rsid w:val="002916AE"/>
    <w:rsid w:val="00292350"/>
    <w:rsid w:val="002C337B"/>
    <w:rsid w:val="002D2C38"/>
    <w:rsid w:val="002D6252"/>
    <w:rsid w:val="002E75EF"/>
    <w:rsid w:val="003247F6"/>
    <w:rsid w:val="00326AF5"/>
    <w:rsid w:val="00332E16"/>
    <w:rsid w:val="0036491D"/>
    <w:rsid w:val="003F68E0"/>
    <w:rsid w:val="004474A3"/>
    <w:rsid w:val="004575D0"/>
    <w:rsid w:val="00457EE3"/>
    <w:rsid w:val="004609C6"/>
    <w:rsid w:val="00471221"/>
    <w:rsid w:val="00497C06"/>
    <w:rsid w:val="004C7E63"/>
    <w:rsid w:val="00500244"/>
    <w:rsid w:val="00545597"/>
    <w:rsid w:val="005647C2"/>
    <w:rsid w:val="00577481"/>
    <w:rsid w:val="00581329"/>
    <w:rsid w:val="005815F8"/>
    <w:rsid w:val="005A2A31"/>
    <w:rsid w:val="005A5FAA"/>
    <w:rsid w:val="005B489D"/>
    <w:rsid w:val="005C47B8"/>
    <w:rsid w:val="005D37FD"/>
    <w:rsid w:val="005E2896"/>
    <w:rsid w:val="00612613"/>
    <w:rsid w:val="00623080"/>
    <w:rsid w:val="00640E1A"/>
    <w:rsid w:val="00644007"/>
    <w:rsid w:val="0065383B"/>
    <w:rsid w:val="00654DB1"/>
    <w:rsid w:val="006607DA"/>
    <w:rsid w:val="006A65B3"/>
    <w:rsid w:val="006B2707"/>
    <w:rsid w:val="006E4212"/>
    <w:rsid w:val="006F40E5"/>
    <w:rsid w:val="0072344C"/>
    <w:rsid w:val="00747C50"/>
    <w:rsid w:val="00751EDB"/>
    <w:rsid w:val="00782141"/>
    <w:rsid w:val="00782CB9"/>
    <w:rsid w:val="0079353D"/>
    <w:rsid w:val="007A4101"/>
    <w:rsid w:val="007D0C85"/>
    <w:rsid w:val="007D10E1"/>
    <w:rsid w:val="0081411E"/>
    <w:rsid w:val="00855595"/>
    <w:rsid w:val="00874F94"/>
    <w:rsid w:val="008A4B32"/>
    <w:rsid w:val="008C1885"/>
    <w:rsid w:val="008C30D4"/>
    <w:rsid w:val="008E3910"/>
    <w:rsid w:val="00950AC7"/>
    <w:rsid w:val="00960DA8"/>
    <w:rsid w:val="0097437F"/>
    <w:rsid w:val="00993D98"/>
    <w:rsid w:val="009B27FD"/>
    <w:rsid w:val="009D3D89"/>
    <w:rsid w:val="00A0734C"/>
    <w:rsid w:val="00A25BEE"/>
    <w:rsid w:val="00A3480D"/>
    <w:rsid w:val="00AF2D52"/>
    <w:rsid w:val="00AF3927"/>
    <w:rsid w:val="00B010F3"/>
    <w:rsid w:val="00B04C8E"/>
    <w:rsid w:val="00B05740"/>
    <w:rsid w:val="00B06868"/>
    <w:rsid w:val="00B1719E"/>
    <w:rsid w:val="00B25136"/>
    <w:rsid w:val="00B340BA"/>
    <w:rsid w:val="00B3589B"/>
    <w:rsid w:val="00B40593"/>
    <w:rsid w:val="00B42E1A"/>
    <w:rsid w:val="00B53848"/>
    <w:rsid w:val="00B61C05"/>
    <w:rsid w:val="00B74CBD"/>
    <w:rsid w:val="00B75657"/>
    <w:rsid w:val="00B857DE"/>
    <w:rsid w:val="00B918B6"/>
    <w:rsid w:val="00B92F86"/>
    <w:rsid w:val="00BB2ACF"/>
    <w:rsid w:val="00BB39C8"/>
    <w:rsid w:val="00BC4EDE"/>
    <w:rsid w:val="00BD1C76"/>
    <w:rsid w:val="00BD5B88"/>
    <w:rsid w:val="00C07D56"/>
    <w:rsid w:val="00C12569"/>
    <w:rsid w:val="00C40F75"/>
    <w:rsid w:val="00C61EC1"/>
    <w:rsid w:val="00C6269B"/>
    <w:rsid w:val="00C71043"/>
    <w:rsid w:val="00C7385A"/>
    <w:rsid w:val="00C772AC"/>
    <w:rsid w:val="00C83E8B"/>
    <w:rsid w:val="00C91819"/>
    <w:rsid w:val="00CB74E5"/>
    <w:rsid w:val="00CC1E2C"/>
    <w:rsid w:val="00CD6F15"/>
    <w:rsid w:val="00CD7667"/>
    <w:rsid w:val="00CE64B5"/>
    <w:rsid w:val="00CF5B5B"/>
    <w:rsid w:val="00D21027"/>
    <w:rsid w:val="00D606BC"/>
    <w:rsid w:val="00D91027"/>
    <w:rsid w:val="00DA0709"/>
    <w:rsid w:val="00DA561D"/>
    <w:rsid w:val="00DC3932"/>
    <w:rsid w:val="00DD6416"/>
    <w:rsid w:val="00DE2F30"/>
    <w:rsid w:val="00E04CF8"/>
    <w:rsid w:val="00E12859"/>
    <w:rsid w:val="00E20E65"/>
    <w:rsid w:val="00E40C29"/>
    <w:rsid w:val="00E42992"/>
    <w:rsid w:val="00EA20D8"/>
    <w:rsid w:val="00EB57F1"/>
    <w:rsid w:val="00EF6C40"/>
    <w:rsid w:val="00F01603"/>
    <w:rsid w:val="00F23B00"/>
    <w:rsid w:val="00F26A8C"/>
    <w:rsid w:val="00F40AAD"/>
    <w:rsid w:val="00F40B26"/>
    <w:rsid w:val="00F413BD"/>
    <w:rsid w:val="00FE7A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149D8"/>
  <w15:chartTrackingRefBased/>
  <w15:docId w15:val="{5CD842CA-4949-4286-A30C-C108BACEE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C40"/>
    <w:pPr>
      <w:suppressAutoHyphens/>
      <w:spacing w:line="254" w:lineRule="auto"/>
    </w:pPr>
    <w:rPr>
      <w:rFonts w:ascii="Calibri" w:eastAsia="SimSun" w:hAnsi="Calibri" w:cs="font685"/>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C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6C40"/>
  </w:style>
  <w:style w:type="paragraph" w:styleId="Footer">
    <w:name w:val="footer"/>
    <w:basedOn w:val="Normal"/>
    <w:link w:val="FooterChar"/>
    <w:uiPriority w:val="99"/>
    <w:unhideWhenUsed/>
    <w:rsid w:val="00EF6C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6C40"/>
  </w:style>
  <w:style w:type="character" w:styleId="Hyperlink">
    <w:name w:val="Hyperlink"/>
    <w:basedOn w:val="DefaultParagraphFont"/>
    <w:rsid w:val="00EF6C40"/>
    <w:rPr>
      <w:color w:val="0563C1"/>
      <w:u w:val="single"/>
    </w:rPr>
  </w:style>
  <w:style w:type="paragraph" w:styleId="ListParagraph">
    <w:name w:val="List Paragraph"/>
    <w:basedOn w:val="Normal"/>
    <w:qFormat/>
    <w:rsid w:val="00EF6C40"/>
    <w:pPr>
      <w:ind w:left="720"/>
    </w:pPr>
  </w:style>
  <w:style w:type="paragraph" w:styleId="NoSpacing">
    <w:name w:val="No Spacing"/>
    <w:qFormat/>
    <w:rsid w:val="00EF6C40"/>
    <w:pPr>
      <w:suppressAutoHyphens/>
      <w:spacing w:after="0" w:line="100" w:lineRule="atLeast"/>
    </w:pPr>
    <w:rPr>
      <w:rFonts w:ascii="Calibri" w:eastAsia="SimSun" w:hAnsi="Calibri" w:cs="font685"/>
      <w:lang w:eastAsia="ar-SA"/>
    </w:rPr>
  </w:style>
  <w:style w:type="character" w:styleId="UnresolvedMention">
    <w:name w:val="Unresolved Mention"/>
    <w:basedOn w:val="DefaultParagraphFont"/>
    <w:uiPriority w:val="99"/>
    <w:semiHidden/>
    <w:unhideWhenUsed/>
    <w:rsid w:val="004474A3"/>
    <w:rPr>
      <w:color w:val="605E5C"/>
      <w:shd w:val="clear" w:color="auto" w:fill="E1DFDD"/>
    </w:rPr>
  </w:style>
  <w:style w:type="character" w:styleId="CommentReference">
    <w:name w:val="annotation reference"/>
    <w:basedOn w:val="DefaultParagraphFont"/>
    <w:uiPriority w:val="99"/>
    <w:semiHidden/>
    <w:unhideWhenUsed/>
    <w:rsid w:val="00C07D56"/>
    <w:rPr>
      <w:sz w:val="16"/>
      <w:szCs w:val="16"/>
    </w:rPr>
  </w:style>
  <w:style w:type="paragraph" w:styleId="CommentText">
    <w:name w:val="annotation text"/>
    <w:basedOn w:val="Normal"/>
    <w:link w:val="CommentTextChar"/>
    <w:uiPriority w:val="99"/>
    <w:semiHidden/>
    <w:unhideWhenUsed/>
    <w:rsid w:val="00C07D56"/>
    <w:pPr>
      <w:spacing w:line="240" w:lineRule="auto"/>
    </w:pPr>
    <w:rPr>
      <w:sz w:val="20"/>
      <w:szCs w:val="20"/>
    </w:rPr>
  </w:style>
  <w:style w:type="character" w:customStyle="1" w:styleId="CommentTextChar">
    <w:name w:val="Comment Text Char"/>
    <w:basedOn w:val="DefaultParagraphFont"/>
    <w:link w:val="CommentText"/>
    <w:uiPriority w:val="99"/>
    <w:semiHidden/>
    <w:rsid w:val="00C07D56"/>
    <w:rPr>
      <w:rFonts w:ascii="Calibri" w:eastAsia="SimSun" w:hAnsi="Calibri" w:cs="font685"/>
      <w:sz w:val="20"/>
      <w:szCs w:val="20"/>
      <w:lang w:eastAsia="ar-SA"/>
    </w:rPr>
  </w:style>
  <w:style w:type="paragraph" w:styleId="CommentSubject">
    <w:name w:val="annotation subject"/>
    <w:basedOn w:val="CommentText"/>
    <w:next w:val="CommentText"/>
    <w:link w:val="CommentSubjectChar"/>
    <w:uiPriority w:val="99"/>
    <w:semiHidden/>
    <w:unhideWhenUsed/>
    <w:rsid w:val="00C07D56"/>
    <w:rPr>
      <w:b/>
      <w:bCs/>
    </w:rPr>
  </w:style>
  <w:style w:type="character" w:customStyle="1" w:styleId="CommentSubjectChar">
    <w:name w:val="Comment Subject Char"/>
    <w:basedOn w:val="CommentTextChar"/>
    <w:link w:val="CommentSubject"/>
    <w:uiPriority w:val="99"/>
    <w:semiHidden/>
    <w:rsid w:val="00C07D56"/>
    <w:rPr>
      <w:rFonts w:ascii="Calibri" w:eastAsia="SimSun" w:hAnsi="Calibri" w:cs="font685"/>
      <w:b/>
      <w:bCs/>
      <w:sz w:val="20"/>
      <w:szCs w:val="20"/>
      <w:lang w:eastAsia="ar-SA"/>
    </w:rPr>
  </w:style>
  <w:style w:type="paragraph" w:styleId="Revision">
    <w:name w:val="Revision"/>
    <w:hidden/>
    <w:uiPriority w:val="99"/>
    <w:semiHidden/>
    <w:rsid w:val="00292350"/>
    <w:pPr>
      <w:spacing w:after="0" w:line="240" w:lineRule="auto"/>
    </w:pPr>
    <w:rPr>
      <w:rFonts w:ascii="Calibri" w:eastAsia="SimSun" w:hAnsi="Calibri" w:cs="font68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01062">
      <w:bodyDiv w:val="1"/>
      <w:marLeft w:val="0"/>
      <w:marRight w:val="0"/>
      <w:marTop w:val="0"/>
      <w:marBottom w:val="0"/>
      <w:divBdr>
        <w:top w:val="none" w:sz="0" w:space="0" w:color="auto"/>
        <w:left w:val="none" w:sz="0" w:space="0" w:color="auto"/>
        <w:bottom w:val="none" w:sz="0" w:space="0" w:color="auto"/>
        <w:right w:val="none" w:sz="0" w:space="0" w:color="auto"/>
      </w:divBdr>
      <w:divsChild>
        <w:div w:id="379744715">
          <w:marLeft w:val="0"/>
          <w:marRight w:val="0"/>
          <w:marTop w:val="0"/>
          <w:marBottom w:val="0"/>
          <w:divBdr>
            <w:top w:val="none" w:sz="0" w:space="0" w:color="auto"/>
            <w:left w:val="none" w:sz="0" w:space="0" w:color="auto"/>
            <w:bottom w:val="none" w:sz="0" w:space="0" w:color="auto"/>
            <w:right w:val="none" w:sz="0" w:space="0" w:color="auto"/>
          </w:divBdr>
        </w:div>
      </w:divsChild>
    </w:div>
    <w:div w:id="154386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arine.gov.scot/sma/content/supporting-guidance-wat-sg-53-environmental-quality-standards-and-standards-discharge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epa.org.uk/media/113498/fish-farm-manual-annex-g.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epa.org.uk/media/113498/fish-farm-manual-annex-g.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sepa.org.uk/media/450279/regulatory-modelling-guidance-for-the-aquaculture-sector.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A211F6D815FC43BD5F92C607DE9A2C" ma:contentTypeVersion="11" ma:contentTypeDescription="Create a new document." ma:contentTypeScope="" ma:versionID="dd4f08e294b0885a844f83d65eccfc0d">
  <xsd:schema xmlns:xsd="http://www.w3.org/2001/XMLSchema" xmlns:xs="http://www.w3.org/2001/XMLSchema" xmlns:p="http://schemas.microsoft.com/office/2006/metadata/properties" xmlns:ns3="7e2832fd-08ce-4e70-a060-632cff422979" xmlns:ns4="c2b011e5-5dcd-4b97-a328-b2be8da6e4e6" targetNamespace="http://schemas.microsoft.com/office/2006/metadata/properties" ma:root="true" ma:fieldsID="13c8bdd9f64abe6876c5fc05a14795e8" ns3:_="" ns4:_="">
    <xsd:import namespace="7e2832fd-08ce-4e70-a060-632cff422979"/>
    <xsd:import namespace="c2b011e5-5dcd-4b97-a328-b2be8da6e4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32fd-08ce-4e70-a060-632cff422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b011e5-5dcd-4b97-a328-b2be8da6e4e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8A4426-FCA2-4CE4-8B3C-C68027B44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2832fd-08ce-4e70-a060-632cff422979"/>
    <ds:schemaRef ds:uri="c2b011e5-5dcd-4b97-a328-b2be8da6e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5C09C-B403-44A0-AD0D-9FEFD0259E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D4238D-A9CC-4D14-879F-6C157230F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1628</Words>
  <Characters>9282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Gunda Wieczorek</dc:creator>
  <cp:keywords/>
  <dc:description/>
  <cp:lastModifiedBy>Wieczorek, Gunda</cp:lastModifiedBy>
  <cp:revision>16</cp:revision>
  <dcterms:created xsi:type="dcterms:W3CDTF">2022-02-02T11:31:00Z</dcterms:created>
  <dcterms:modified xsi:type="dcterms:W3CDTF">2022-04-04T14:59:00Z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0x010100D4A211F6D815FC43BD5F92C607DE9A2C</vt:lpwstr>
  </property>
  <property fmtid="{D5CDD505-2E9C-101B-9397-08002B2CF9AE}" pid="3" name="MSIP_Label_ea4fd52f-9814-4cae-aa53-0ea7b16cd381_Enabled">
    <vt:lpwstr>true</vt:lpwstr>
  </property>
  <property fmtid="{D5CDD505-2E9C-101B-9397-08002B2CF9AE}" pid="4" name="MSIP_Label_ea4fd52f-9814-4cae-aa53-0ea7b16cd381_SetDate">
    <vt:lpwstr>2022-02-02T11:31:56Z</vt:lpwstr>
  </property>
  <property fmtid="{D5CDD505-2E9C-101B-9397-08002B2CF9AE}" pid="5" name="MSIP_Label_ea4fd52f-9814-4cae-aa53-0ea7b16cd381_Method">
    <vt:lpwstr>Privileged</vt:lpwstr>
  </property>
  <property fmtid="{D5CDD505-2E9C-101B-9397-08002B2CF9AE}" pid="6" name="MSIP_Label_ea4fd52f-9814-4cae-aa53-0ea7b16cd381_Name">
    <vt:lpwstr>Official General</vt:lpwstr>
  </property>
  <property fmtid="{D5CDD505-2E9C-101B-9397-08002B2CF9AE}" pid="7" name="MSIP_Label_ea4fd52f-9814-4cae-aa53-0ea7b16cd381_SiteId">
    <vt:lpwstr>5cf26d65-cf46-4c72-ba82-7577d9c2d7ab</vt:lpwstr>
  </property>
  <property fmtid="{D5CDD505-2E9C-101B-9397-08002B2CF9AE}" pid="8" name="MSIP_Label_ea4fd52f-9814-4cae-aa53-0ea7b16cd381_ActionId">
    <vt:lpwstr>ea34eae0-abc9-460e-a07b-f02c3b859992</vt:lpwstr>
  </property>
  <property fmtid="{D5CDD505-2E9C-101B-9397-08002B2CF9AE}" pid="9" name="MSIP_Label_ea4fd52f-9814-4cae-aa53-0ea7b16cd381_ContentBits">
    <vt:lpwstr>3</vt:lpwstr>
  </property>
</Properties>
</file>